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5115A1" w14:textId="77777777" w:rsidR="00502895" w:rsidRDefault="00502895" w:rsidP="002A45BC">
      <w:pPr>
        <w:pStyle w:val="Header"/>
        <w:tabs>
          <w:tab w:val="clear" w:pos="8504"/>
          <w:tab w:val="right" w:pos="9360"/>
        </w:tabs>
        <w:spacing w:before="120"/>
        <w:ind w:right="-58"/>
        <w:rPr>
          <w:rFonts w:ascii="Arial" w:eastAsia="MS Mincho" w:hAnsi="Arial" w:cs="Arial"/>
          <w:b/>
          <w:bCs/>
          <w:sz w:val="28"/>
          <w:lang w:eastAsia="ja-JP"/>
        </w:rPr>
      </w:pPr>
      <w:bookmarkStart w:id="0" w:name="OLE_LINK6"/>
      <w:bookmarkStart w:id="1" w:name="OLE_LINK7"/>
      <w:r>
        <w:rPr>
          <w:rFonts w:ascii="Arial" w:hAnsi="Arial" w:cs="Arial"/>
          <w:b/>
          <w:bCs/>
          <w:sz w:val="28"/>
        </w:rPr>
        <w:t>3GPP TSG RAN WG1 Meeting #</w:t>
      </w:r>
      <w:r>
        <w:rPr>
          <w:rFonts w:ascii="Arial" w:eastAsia="MS Mincho" w:hAnsi="Arial" w:cs="Arial"/>
          <w:b/>
          <w:bCs/>
          <w:sz w:val="28"/>
          <w:lang w:eastAsia="ja-JP"/>
        </w:rPr>
        <w:t>85</w:t>
      </w:r>
      <w:r>
        <w:rPr>
          <w:rFonts w:ascii="Arial" w:eastAsia="MS Mincho" w:hAnsi="Arial" w:cs="Arial"/>
          <w:b/>
          <w:bCs/>
          <w:sz w:val="28"/>
          <w:lang w:eastAsia="ja-JP"/>
        </w:rPr>
        <w:tab/>
      </w:r>
      <w:r w:rsidRPr="00502895">
        <w:rPr>
          <w:rFonts w:ascii="Arial" w:eastAsia="MS Mincho" w:hAnsi="Arial" w:cs="Arial"/>
          <w:b/>
          <w:bCs/>
          <w:sz w:val="28"/>
          <w:lang w:eastAsia="ja-JP"/>
        </w:rPr>
        <w:t>R1-164444</w:t>
      </w:r>
    </w:p>
    <w:p w14:paraId="2782E61C" w14:textId="52B79D6D" w:rsidR="00502895" w:rsidRDefault="00502895" w:rsidP="00502895">
      <w:pPr>
        <w:pStyle w:val="Header"/>
        <w:tabs>
          <w:tab w:val="right" w:pos="8280"/>
          <w:tab w:val="right" w:pos="9781"/>
        </w:tabs>
        <w:spacing w:before="120"/>
        <w:ind w:right="-58"/>
        <w:rPr>
          <w:rFonts w:ascii="Arial" w:eastAsia="MS Mincho" w:hAnsi="Arial" w:cs="Arial"/>
          <w:b/>
          <w:bCs/>
          <w:sz w:val="28"/>
          <w:lang w:eastAsia="ja-JP"/>
        </w:rPr>
      </w:pPr>
      <w:r>
        <w:rPr>
          <w:rFonts w:ascii="Arial" w:eastAsia="MS Mincho" w:hAnsi="Arial" w:cs="Arial"/>
          <w:b/>
          <w:bCs/>
          <w:sz w:val="28"/>
          <w:lang w:eastAsia="ja-JP"/>
        </w:rPr>
        <w:t>Nanjing, China 23</w:t>
      </w:r>
      <w:r>
        <w:rPr>
          <w:rFonts w:ascii="Arial" w:eastAsia="MS Mincho" w:hAnsi="Arial" w:cs="Arial"/>
          <w:b/>
          <w:bCs/>
          <w:sz w:val="28"/>
          <w:vertAlign w:val="superscript"/>
          <w:lang w:eastAsia="ja-JP"/>
        </w:rPr>
        <w:t>rd</w:t>
      </w:r>
      <w:r>
        <w:rPr>
          <w:rFonts w:ascii="Arial" w:eastAsia="MS Mincho" w:hAnsi="Arial" w:cs="Arial"/>
          <w:b/>
          <w:bCs/>
          <w:sz w:val="28"/>
          <w:lang w:eastAsia="ja-JP"/>
        </w:rPr>
        <w:t xml:space="preserve"> - 27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May 2016</w:t>
      </w:r>
    </w:p>
    <w:p w14:paraId="62B64A05" w14:textId="77777777" w:rsidR="000F29F8" w:rsidRPr="000F29F8" w:rsidRDefault="000F29F8" w:rsidP="000F29F8">
      <w:pPr>
        <w:widowControl/>
        <w:tabs>
          <w:tab w:val="right" w:pos="9630"/>
        </w:tabs>
        <w:wordWrap/>
        <w:autoSpaceDE/>
        <w:autoSpaceDN/>
        <w:jc w:val="left"/>
        <w:rPr>
          <w:rFonts w:ascii="Arial" w:eastAsia="SimSun" w:hAnsi="Arial" w:cs="Arial"/>
          <w:b/>
          <w:kern w:val="0"/>
          <w:sz w:val="24"/>
          <w:lang w:eastAsia="en-US"/>
        </w:rPr>
      </w:pPr>
    </w:p>
    <w:p w14:paraId="06428B3F" w14:textId="118EB35A" w:rsidR="002A2420" w:rsidRPr="000F29F8" w:rsidRDefault="002A2420" w:rsidP="002A2420">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502895" w:rsidRPr="00502895">
        <w:rPr>
          <w:rFonts w:ascii="Arial" w:hAnsi="Arial" w:cs="Arial"/>
          <w:snapToGrid w:val="0"/>
          <w:sz w:val="24"/>
        </w:rPr>
        <w:t>6.2.6.1</w:t>
      </w:r>
    </w:p>
    <w:p w14:paraId="41E492CE" w14:textId="77777777" w:rsidR="002A2420" w:rsidRPr="001903B5" w:rsidRDefault="002A2420" w:rsidP="002A2420">
      <w:pPr>
        <w:wordWrap/>
        <w:adjustRightInd w:val="0"/>
        <w:snapToGrid w:val="0"/>
        <w:spacing w:line="360" w:lineRule="auto"/>
        <w:rPr>
          <w:rFonts w:ascii="Arial" w:hAnsi="Arial"/>
          <w:sz w:val="24"/>
        </w:rPr>
      </w:pPr>
      <w:r w:rsidRPr="000F29F8">
        <w:rPr>
          <w:rFonts w:ascii="Arial" w:hAnsi="Arial" w:cs="Arial"/>
          <w:b/>
          <w:snapToGrid w:val="0"/>
          <w:sz w:val="24"/>
        </w:rPr>
        <w:t>Source:</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417AD7" w:rsidRPr="000F29F8">
        <w:rPr>
          <w:rFonts w:ascii="Arial" w:hAnsi="Arial" w:cs="Arial"/>
          <w:snapToGrid w:val="0"/>
          <w:sz w:val="24"/>
        </w:rPr>
        <w:t>Qualcomm</w:t>
      </w:r>
      <w:r w:rsidR="0057658E" w:rsidRPr="00321217">
        <w:rPr>
          <w:rFonts w:ascii="Arial" w:eastAsia="SimSun" w:hAnsi="Arial" w:cs="Arial" w:hint="eastAsia"/>
          <w:snapToGrid w:val="0"/>
          <w:sz w:val="24"/>
          <w:lang w:eastAsia="zh-CN"/>
        </w:rPr>
        <w:t xml:space="preserve"> </w:t>
      </w:r>
      <w:r w:rsidR="0057658E">
        <w:rPr>
          <w:rFonts w:ascii="Arial" w:hAnsi="Arial"/>
          <w:sz w:val="24"/>
        </w:rPr>
        <w:t>Incorporated</w:t>
      </w:r>
      <w:bookmarkStart w:id="2" w:name="_GoBack"/>
      <w:bookmarkEnd w:id="2"/>
    </w:p>
    <w:p w14:paraId="78E0B509" w14:textId="7532C1B2" w:rsidR="002A2420" w:rsidRPr="00B50B9E" w:rsidRDefault="002A2420" w:rsidP="00956560">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sidR="000F29F8">
        <w:rPr>
          <w:rFonts w:ascii="Arial" w:hAnsi="Arial" w:cs="Arial"/>
          <w:b/>
          <w:snapToGrid w:val="0"/>
          <w:sz w:val="24"/>
        </w:rPr>
        <w:t xml:space="preserve">                 </w:t>
      </w:r>
      <w:r w:rsidR="00502895" w:rsidRPr="00502895">
        <w:rPr>
          <w:rFonts w:ascii="Arial" w:hAnsi="Arial" w:cs="Arial"/>
          <w:snapToGrid w:val="0"/>
          <w:sz w:val="24"/>
        </w:rPr>
        <w:t>SRS Transmission on TDD CCs without PUSCH</w:t>
      </w:r>
    </w:p>
    <w:p w14:paraId="65718271" w14:textId="6034C429" w:rsidR="00502895" w:rsidRPr="000F29F8" w:rsidRDefault="002A2420" w:rsidP="002A2420">
      <w:pPr>
        <w:pBdr>
          <w:bottom w:val="single" w:sz="12" w:space="1" w:color="auto"/>
        </w:pBdr>
        <w:wordWrap/>
        <w:spacing w:line="360" w:lineRule="auto"/>
        <w:ind w:left="695" w:hangingChars="295" w:hanging="695"/>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sidR="000F29F8">
        <w:rPr>
          <w:rFonts w:ascii="Arial" w:hAnsi="Arial" w:cs="Arial"/>
          <w:snapToGrid w:val="0"/>
          <w:sz w:val="24"/>
        </w:rPr>
        <w:t xml:space="preserve"> </w:t>
      </w:r>
      <w:r w:rsidRPr="000F29F8">
        <w:rPr>
          <w:rFonts w:ascii="Arial" w:hAnsi="Arial" w:cs="Arial"/>
          <w:snapToGrid w:val="0"/>
          <w:sz w:val="24"/>
        </w:rPr>
        <w:t>Discussion</w:t>
      </w:r>
      <w:r w:rsidR="0057658E" w:rsidRPr="00321217">
        <w:rPr>
          <w:rFonts w:ascii="Arial" w:eastAsia="SimSun" w:hAnsi="Arial" w:cs="Arial" w:hint="eastAsia"/>
          <w:snapToGrid w:val="0"/>
          <w:sz w:val="24"/>
          <w:lang w:eastAsia="zh-CN"/>
        </w:rPr>
        <w:t xml:space="preserve"> and </w:t>
      </w:r>
      <w:r w:rsidR="005920D4">
        <w:rPr>
          <w:rFonts w:ascii="Arial" w:hAnsi="Arial" w:cs="Arial"/>
          <w:snapToGrid w:val="0"/>
          <w:sz w:val="24"/>
        </w:rPr>
        <w:t>Decision</w:t>
      </w:r>
      <w:r w:rsidRPr="000F29F8">
        <w:rPr>
          <w:rFonts w:ascii="Arial" w:hAnsi="Arial" w:cs="Arial"/>
          <w:snapToGrid w:val="0"/>
          <w:sz w:val="24"/>
        </w:rPr>
        <w:t xml:space="preserve"> </w:t>
      </w:r>
    </w:p>
    <w:p w14:paraId="680AD79A" w14:textId="77777777" w:rsidR="008B1565" w:rsidRPr="00392E7D" w:rsidRDefault="007949E6" w:rsidP="006A53EE">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4A905BC7" w14:textId="05169D32" w:rsidR="00502895" w:rsidRDefault="003775E1"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 xml:space="preserve">In RAN#71 a new work item (WI) named </w:t>
      </w:r>
      <w:r w:rsidR="00C412BA">
        <w:rPr>
          <w:rFonts w:ascii="Times New Roman"/>
          <w:i/>
          <w:snapToGrid w:val="0"/>
          <w:kern w:val="0"/>
          <w:sz w:val="22"/>
          <w:szCs w:val="22"/>
          <w:lang w:val="en-GB"/>
        </w:rPr>
        <w:t xml:space="preserve">SRS Carrier Based Switching for LTE </w:t>
      </w:r>
      <w:r>
        <w:rPr>
          <w:rFonts w:ascii="Times New Roman"/>
          <w:snapToGrid w:val="0"/>
          <w:kern w:val="0"/>
          <w:sz w:val="22"/>
          <w:szCs w:val="22"/>
          <w:lang w:val="en-GB"/>
        </w:rPr>
        <w:t>[1] was introduced. The objective</w:t>
      </w:r>
      <w:r w:rsidR="00C412BA">
        <w:rPr>
          <w:rFonts w:ascii="Times New Roman"/>
          <w:snapToGrid w:val="0"/>
          <w:kern w:val="0"/>
          <w:sz w:val="22"/>
          <w:szCs w:val="22"/>
          <w:lang w:val="en-GB"/>
        </w:rPr>
        <w:t xml:space="preserve"> of this WI is to support SRS transmission in CC with no UL transmission.</w:t>
      </w:r>
      <w:r w:rsidR="00502895">
        <w:rPr>
          <w:rFonts w:ascii="Times New Roman"/>
          <w:snapToGrid w:val="0"/>
          <w:kern w:val="0"/>
          <w:sz w:val="22"/>
          <w:szCs w:val="22"/>
          <w:lang w:val="en-GB"/>
        </w:rPr>
        <w:t xml:space="preserve"> In RAN#84b the following agreements were reached:</w:t>
      </w:r>
    </w:p>
    <w:p w14:paraId="5F3B6821" w14:textId="77777777" w:rsidR="00502895" w:rsidRDefault="00502895" w:rsidP="00111B9A">
      <w:pPr>
        <w:overflowPunct w:val="0"/>
        <w:adjustRightInd w:val="0"/>
        <w:spacing w:after="120"/>
        <w:contextualSpacing/>
        <w:textAlignment w:val="baseline"/>
        <w:rPr>
          <w:rFonts w:ascii="Times New Roman"/>
          <w:snapToGrid w:val="0"/>
          <w:kern w:val="0"/>
          <w:sz w:val="22"/>
          <w:szCs w:val="22"/>
          <w:lang w:val="en-GB"/>
        </w:rPr>
      </w:pPr>
    </w:p>
    <w:p w14:paraId="771AE815" w14:textId="2A93F8F8" w:rsidR="00502895" w:rsidRPr="00502895" w:rsidRDefault="00502895" w:rsidP="00502895">
      <w:pPr>
        <w:rPr>
          <w:rFonts w:ascii="Times New Roman"/>
          <w:sz w:val="22"/>
          <w:szCs w:val="22"/>
        </w:rPr>
      </w:pPr>
      <w:r w:rsidRPr="00502895">
        <w:rPr>
          <w:rFonts w:ascii="Times New Roman"/>
          <w:sz w:val="22"/>
          <w:szCs w:val="22"/>
        </w:rPr>
        <w:t>Design Principles for SRS carrier based switching:</w:t>
      </w:r>
    </w:p>
    <w:p w14:paraId="5E4673E6" w14:textId="77777777" w:rsidR="00502895" w:rsidRPr="00502895" w:rsidRDefault="00502895" w:rsidP="00502895">
      <w:pPr>
        <w:widowControl/>
        <w:numPr>
          <w:ilvl w:val="0"/>
          <w:numId w:val="47"/>
        </w:numPr>
        <w:wordWrap/>
        <w:autoSpaceDE/>
        <w:autoSpaceDN/>
        <w:jc w:val="left"/>
        <w:rPr>
          <w:rFonts w:ascii="Times New Roman"/>
          <w:sz w:val="22"/>
          <w:szCs w:val="22"/>
        </w:rPr>
      </w:pPr>
      <w:r w:rsidRPr="00502895">
        <w:rPr>
          <w:rFonts w:ascii="Times New Roman"/>
          <w:sz w:val="22"/>
          <w:szCs w:val="22"/>
        </w:rPr>
        <w:t>SRS carrier based switching support should follow these general guidelines:</w:t>
      </w:r>
    </w:p>
    <w:p w14:paraId="4FD92B93" w14:textId="77777777" w:rsidR="00502895" w:rsidRPr="00502895" w:rsidRDefault="00502895" w:rsidP="00502895">
      <w:pPr>
        <w:widowControl/>
        <w:numPr>
          <w:ilvl w:val="1"/>
          <w:numId w:val="47"/>
        </w:numPr>
        <w:wordWrap/>
        <w:autoSpaceDE/>
        <w:autoSpaceDN/>
        <w:jc w:val="left"/>
        <w:rPr>
          <w:rFonts w:ascii="Times New Roman"/>
          <w:sz w:val="22"/>
          <w:szCs w:val="22"/>
        </w:rPr>
      </w:pPr>
      <w:r w:rsidRPr="00502895">
        <w:rPr>
          <w:rFonts w:ascii="Times New Roman"/>
          <w:sz w:val="22"/>
          <w:szCs w:val="22"/>
        </w:rPr>
        <w:t>Applicable for deployment scenarios that have a TDD CC without the capability to have the corresponding UL CC configured</w:t>
      </w:r>
    </w:p>
    <w:p w14:paraId="59698B41" w14:textId="77777777" w:rsidR="00502895" w:rsidRPr="00502895" w:rsidRDefault="00502895" w:rsidP="00502895">
      <w:pPr>
        <w:widowControl/>
        <w:numPr>
          <w:ilvl w:val="2"/>
          <w:numId w:val="47"/>
        </w:numPr>
        <w:wordWrap/>
        <w:autoSpaceDE/>
        <w:autoSpaceDN/>
        <w:jc w:val="left"/>
        <w:rPr>
          <w:rFonts w:ascii="Times New Roman"/>
          <w:sz w:val="22"/>
          <w:szCs w:val="22"/>
        </w:rPr>
      </w:pPr>
      <w:r w:rsidRPr="00502895">
        <w:rPr>
          <w:rFonts w:ascii="Times New Roman"/>
          <w:sz w:val="22"/>
          <w:szCs w:val="22"/>
        </w:rPr>
        <w:t xml:space="preserve">FFS: For </w:t>
      </w:r>
      <w:proofErr w:type="spellStart"/>
      <w:r w:rsidRPr="00502895">
        <w:rPr>
          <w:rFonts w:ascii="Times New Roman"/>
          <w:sz w:val="22"/>
          <w:szCs w:val="22"/>
        </w:rPr>
        <w:t>eIMTA</w:t>
      </w:r>
      <w:proofErr w:type="spellEnd"/>
      <w:r w:rsidRPr="00502895">
        <w:rPr>
          <w:rFonts w:ascii="Times New Roman"/>
          <w:sz w:val="22"/>
          <w:szCs w:val="22"/>
        </w:rPr>
        <w:t xml:space="preserve"> </w:t>
      </w:r>
    </w:p>
    <w:p w14:paraId="4110292F" w14:textId="77777777" w:rsidR="00502895" w:rsidRPr="00502895" w:rsidRDefault="00502895" w:rsidP="00502895">
      <w:pPr>
        <w:widowControl/>
        <w:numPr>
          <w:ilvl w:val="1"/>
          <w:numId w:val="47"/>
        </w:numPr>
        <w:wordWrap/>
        <w:autoSpaceDE/>
        <w:autoSpaceDN/>
        <w:jc w:val="left"/>
        <w:rPr>
          <w:rFonts w:ascii="Times New Roman"/>
          <w:sz w:val="22"/>
          <w:szCs w:val="22"/>
        </w:rPr>
      </w:pPr>
      <w:r w:rsidRPr="00502895">
        <w:rPr>
          <w:rFonts w:ascii="Times New Roman"/>
          <w:sz w:val="22"/>
          <w:szCs w:val="22"/>
        </w:rPr>
        <w:t xml:space="preserve">Strive to reduce negative impacts on other transmissions and reception, especially UCI </w:t>
      </w:r>
    </w:p>
    <w:p w14:paraId="2408D17C" w14:textId="77777777" w:rsidR="00502895" w:rsidRDefault="00502895" w:rsidP="00502895">
      <w:pPr>
        <w:widowControl/>
        <w:numPr>
          <w:ilvl w:val="1"/>
          <w:numId w:val="47"/>
        </w:numPr>
        <w:wordWrap/>
        <w:autoSpaceDE/>
        <w:autoSpaceDN/>
        <w:jc w:val="left"/>
        <w:rPr>
          <w:rFonts w:ascii="Times New Roman"/>
          <w:sz w:val="22"/>
          <w:szCs w:val="22"/>
        </w:rPr>
      </w:pPr>
      <w:r w:rsidRPr="00502895">
        <w:rPr>
          <w:rFonts w:ascii="Times New Roman"/>
          <w:sz w:val="22"/>
          <w:szCs w:val="22"/>
        </w:rPr>
        <w:t xml:space="preserve">Take into consideration switching times </w:t>
      </w:r>
    </w:p>
    <w:p w14:paraId="09C31BDD" w14:textId="77777777" w:rsidR="00502895" w:rsidRPr="00502895" w:rsidRDefault="00502895" w:rsidP="00502895">
      <w:pPr>
        <w:widowControl/>
        <w:wordWrap/>
        <w:autoSpaceDE/>
        <w:autoSpaceDN/>
        <w:ind w:left="1440"/>
        <w:jc w:val="left"/>
        <w:rPr>
          <w:rFonts w:ascii="Times New Roman"/>
          <w:sz w:val="22"/>
          <w:szCs w:val="22"/>
        </w:rPr>
      </w:pPr>
    </w:p>
    <w:p w14:paraId="1911A1A7" w14:textId="77777777" w:rsidR="00502895" w:rsidRPr="00502895" w:rsidRDefault="00502895" w:rsidP="00502895">
      <w:pPr>
        <w:widowControl/>
        <w:numPr>
          <w:ilvl w:val="0"/>
          <w:numId w:val="47"/>
        </w:numPr>
        <w:wordWrap/>
        <w:autoSpaceDE/>
        <w:autoSpaceDN/>
        <w:jc w:val="left"/>
        <w:rPr>
          <w:rFonts w:ascii="Times New Roman"/>
          <w:sz w:val="22"/>
          <w:szCs w:val="22"/>
        </w:rPr>
      </w:pPr>
      <w:r w:rsidRPr="00502895">
        <w:rPr>
          <w:rFonts w:ascii="Times New Roman"/>
          <w:sz w:val="22"/>
          <w:szCs w:val="22"/>
        </w:rPr>
        <w:t xml:space="preserve">SRS switching solution(s) should be applicable to any TDD UL-DL configurations and special </w:t>
      </w:r>
      <w:proofErr w:type="spellStart"/>
      <w:r w:rsidRPr="00502895">
        <w:rPr>
          <w:rFonts w:ascii="Times New Roman"/>
          <w:sz w:val="22"/>
          <w:szCs w:val="22"/>
        </w:rPr>
        <w:t>subframe</w:t>
      </w:r>
      <w:proofErr w:type="spellEnd"/>
      <w:r w:rsidRPr="00502895">
        <w:rPr>
          <w:rFonts w:ascii="Times New Roman"/>
          <w:sz w:val="22"/>
          <w:szCs w:val="22"/>
        </w:rPr>
        <w:t xml:space="preserve"> configurations.</w:t>
      </w:r>
    </w:p>
    <w:p w14:paraId="54735078" w14:textId="77777777" w:rsidR="00502895" w:rsidRPr="00502895" w:rsidRDefault="00502895" w:rsidP="00502895">
      <w:pPr>
        <w:widowControl/>
        <w:numPr>
          <w:ilvl w:val="0"/>
          <w:numId w:val="47"/>
        </w:numPr>
        <w:wordWrap/>
        <w:autoSpaceDE/>
        <w:autoSpaceDN/>
        <w:jc w:val="left"/>
        <w:rPr>
          <w:rFonts w:ascii="Times New Roman"/>
          <w:sz w:val="22"/>
          <w:szCs w:val="22"/>
        </w:rPr>
      </w:pPr>
      <w:r w:rsidRPr="00502895">
        <w:rPr>
          <w:rFonts w:ascii="Times New Roman"/>
          <w:sz w:val="22"/>
          <w:szCs w:val="22"/>
        </w:rPr>
        <w:t xml:space="preserve">SRS switching solution(s) should be applicable to any combination of UL-DL and special </w:t>
      </w:r>
      <w:proofErr w:type="spellStart"/>
      <w:r w:rsidRPr="00502895">
        <w:rPr>
          <w:rFonts w:ascii="Times New Roman"/>
          <w:sz w:val="22"/>
          <w:szCs w:val="22"/>
        </w:rPr>
        <w:t>subframe</w:t>
      </w:r>
      <w:proofErr w:type="spellEnd"/>
      <w:r w:rsidRPr="00502895">
        <w:rPr>
          <w:rFonts w:ascii="Times New Roman"/>
          <w:sz w:val="22"/>
          <w:szCs w:val="22"/>
        </w:rPr>
        <w:t xml:space="preserve"> configurations among CCs that are not prevented for other reasons </w:t>
      </w:r>
    </w:p>
    <w:p w14:paraId="5361705C" w14:textId="6808034B" w:rsidR="00502895" w:rsidRPr="002C3E80" w:rsidRDefault="00502895" w:rsidP="002C3E80">
      <w:pPr>
        <w:widowControl/>
        <w:numPr>
          <w:ilvl w:val="0"/>
          <w:numId w:val="47"/>
        </w:numPr>
        <w:wordWrap/>
        <w:autoSpaceDE/>
        <w:autoSpaceDN/>
        <w:jc w:val="left"/>
        <w:rPr>
          <w:rFonts w:ascii="Times New Roman"/>
          <w:sz w:val="22"/>
          <w:szCs w:val="22"/>
        </w:rPr>
      </w:pPr>
      <w:r w:rsidRPr="00502895">
        <w:rPr>
          <w:rFonts w:ascii="Times New Roman"/>
          <w:sz w:val="22"/>
          <w:szCs w:val="22"/>
        </w:rPr>
        <w:t xml:space="preserve">The solution should not require to introduce any new TDD UL-DL configuration or special </w:t>
      </w:r>
      <w:proofErr w:type="spellStart"/>
      <w:r w:rsidRPr="00502895">
        <w:rPr>
          <w:rFonts w:ascii="Times New Roman"/>
          <w:sz w:val="22"/>
          <w:szCs w:val="22"/>
        </w:rPr>
        <w:t>subframe</w:t>
      </w:r>
      <w:proofErr w:type="spellEnd"/>
      <w:r w:rsidRPr="00502895">
        <w:rPr>
          <w:rFonts w:ascii="Times New Roman"/>
          <w:sz w:val="22"/>
          <w:szCs w:val="22"/>
        </w:rPr>
        <w:t xml:space="preserve"> configuration </w:t>
      </w:r>
    </w:p>
    <w:p w14:paraId="5C204B3E" w14:textId="77777777" w:rsidR="00502895" w:rsidRDefault="00502895" w:rsidP="00111B9A">
      <w:pPr>
        <w:overflowPunct w:val="0"/>
        <w:adjustRightInd w:val="0"/>
        <w:spacing w:after="120"/>
        <w:contextualSpacing/>
        <w:textAlignment w:val="baseline"/>
        <w:rPr>
          <w:rFonts w:ascii="Times New Roman"/>
          <w:snapToGrid w:val="0"/>
          <w:kern w:val="0"/>
          <w:sz w:val="22"/>
          <w:szCs w:val="22"/>
          <w:lang w:val="en-GB"/>
        </w:rPr>
      </w:pPr>
    </w:p>
    <w:p w14:paraId="4AF8E9B7" w14:textId="3C3A470B" w:rsidR="00111B9A" w:rsidRDefault="00C412BA"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 xml:space="preserve">In this contribution we present our views on the general operation of SRS </w:t>
      </w:r>
      <w:r w:rsidR="00502895">
        <w:rPr>
          <w:rFonts w:ascii="Times New Roman"/>
          <w:snapToGrid w:val="0"/>
          <w:kern w:val="0"/>
          <w:sz w:val="22"/>
          <w:szCs w:val="22"/>
          <w:lang w:val="en-GB"/>
        </w:rPr>
        <w:t>transmission over TDD CCs without PUSCH.</w:t>
      </w:r>
    </w:p>
    <w:p w14:paraId="7DE02163" w14:textId="77777777" w:rsidR="00DE2B48" w:rsidRPr="00111B9A" w:rsidRDefault="00DE2B48" w:rsidP="00111B9A">
      <w:pPr>
        <w:overflowPunct w:val="0"/>
        <w:adjustRightInd w:val="0"/>
        <w:spacing w:after="120"/>
        <w:contextualSpacing/>
        <w:textAlignment w:val="baseline"/>
        <w:rPr>
          <w:rFonts w:ascii="Times New Roman"/>
          <w:snapToGrid w:val="0"/>
          <w:kern w:val="0"/>
          <w:sz w:val="22"/>
          <w:szCs w:val="22"/>
          <w:lang w:val="en-GB"/>
        </w:rPr>
      </w:pPr>
    </w:p>
    <w:bookmarkEnd w:id="0"/>
    <w:bookmarkEnd w:id="1"/>
    <w:p w14:paraId="50036BF5" w14:textId="16B640E7" w:rsidR="00502895" w:rsidRDefault="00502895" w:rsidP="00502895">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 xml:space="preserve">Initial </w:t>
      </w:r>
      <w:r w:rsidR="003E30ED">
        <w:rPr>
          <w:rFonts w:ascii="Arial" w:hAnsi="Arial" w:cs="Arial"/>
          <w:lang w:val="en-US"/>
        </w:rPr>
        <w:t>power and timing advance</w:t>
      </w:r>
      <w:r w:rsidR="002C3E80">
        <w:rPr>
          <w:rFonts w:ascii="Arial" w:hAnsi="Arial" w:cs="Arial"/>
          <w:lang w:val="en-US"/>
        </w:rPr>
        <w:t xml:space="preserve"> of SRS</w:t>
      </w:r>
    </w:p>
    <w:p w14:paraId="67382CEA" w14:textId="60002FA2" w:rsidR="002C3E80" w:rsidRDefault="002C3E80" w:rsidP="002C3E80">
      <w:pPr>
        <w:pStyle w:val="LGTdoc1"/>
        <w:spacing w:beforeLines="0" w:before="120" w:after="220" w:afterAutospacing="0"/>
        <w:rPr>
          <w:b w:val="0"/>
          <w:sz w:val="22"/>
          <w:szCs w:val="22"/>
        </w:rPr>
      </w:pPr>
      <w:r>
        <w:rPr>
          <w:b w:val="0"/>
          <w:sz w:val="22"/>
          <w:szCs w:val="22"/>
        </w:rPr>
        <w:t xml:space="preserve">Before starting the transmission in </w:t>
      </w:r>
      <w:proofErr w:type="gramStart"/>
      <w:r>
        <w:rPr>
          <w:b w:val="0"/>
          <w:sz w:val="22"/>
          <w:szCs w:val="22"/>
        </w:rPr>
        <w:t>an</w:t>
      </w:r>
      <w:proofErr w:type="gramEnd"/>
      <w:r>
        <w:rPr>
          <w:b w:val="0"/>
          <w:sz w:val="22"/>
          <w:szCs w:val="22"/>
        </w:rPr>
        <w:t xml:space="preserve"> </w:t>
      </w:r>
      <w:proofErr w:type="spellStart"/>
      <w:r>
        <w:rPr>
          <w:b w:val="0"/>
          <w:sz w:val="22"/>
          <w:szCs w:val="22"/>
        </w:rPr>
        <w:t>SCell</w:t>
      </w:r>
      <w:proofErr w:type="spellEnd"/>
      <w:r>
        <w:rPr>
          <w:b w:val="0"/>
          <w:sz w:val="22"/>
          <w:szCs w:val="22"/>
        </w:rPr>
        <w:t xml:space="preserve"> configured for SRS transmission only, the UE has to determine the initial power and initial timing advance values. Transmitting SRS with an incorrect TA or transmit power may cause large interference to other UEs in the cell</w:t>
      </w:r>
      <w:r w:rsidR="00F2194F">
        <w:rPr>
          <w:b w:val="0"/>
          <w:sz w:val="22"/>
          <w:szCs w:val="22"/>
        </w:rPr>
        <w:t xml:space="preserve"> or </w:t>
      </w:r>
      <w:r w:rsidR="00512D41">
        <w:rPr>
          <w:b w:val="0"/>
          <w:sz w:val="22"/>
          <w:szCs w:val="22"/>
        </w:rPr>
        <w:t>neighbouring</w:t>
      </w:r>
      <w:r w:rsidR="00F2194F">
        <w:rPr>
          <w:b w:val="0"/>
          <w:sz w:val="22"/>
          <w:szCs w:val="22"/>
        </w:rPr>
        <w:t xml:space="preserve"> cells </w:t>
      </w:r>
      <w:r>
        <w:rPr>
          <w:b w:val="0"/>
          <w:sz w:val="22"/>
          <w:szCs w:val="22"/>
        </w:rPr>
        <w:t>due to loss of orthogonality and power imbalance.</w:t>
      </w:r>
    </w:p>
    <w:p w14:paraId="0BE0BB33" w14:textId="127D4DF6" w:rsidR="002C3E80" w:rsidRDefault="002C3E80" w:rsidP="002C3E80">
      <w:pPr>
        <w:pStyle w:val="LGTdoc1"/>
        <w:spacing w:beforeLines="0" w:before="120" w:after="220" w:afterAutospacing="0"/>
        <w:rPr>
          <w:b w:val="0"/>
          <w:sz w:val="22"/>
          <w:szCs w:val="22"/>
        </w:rPr>
      </w:pPr>
      <w:r>
        <w:rPr>
          <w:b w:val="0"/>
          <w:sz w:val="22"/>
          <w:szCs w:val="22"/>
        </w:rPr>
        <w:t>If the SRS transmission happens over a TDD CC that belongs to the same TAG as another CC configured for PUSCH transmission, the initial TA can be derived from the other CC</w:t>
      </w:r>
      <w:r w:rsidR="00512D41">
        <w:rPr>
          <w:b w:val="0"/>
          <w:sz w:val="22"/>
          <w:szCs w:val="22"/>
        </w:rPr>
        <w:t>, while the initial transmit power has to be determined separately</w:t>
      </w:r>
      <w:r>
        <w:rPr>
          <w:b w:val="0"/>
          <w:sz w:val="22"/>
          <w:szCs w:val="22"/>
        </w:rPr>
        <w:t xml:space="preserve">. </w:t>
      </w:r>
      <w:r w:rsidR="00DE2B48">
        <w:rPr>
          <w:b w:val="0"/>
          <w:sz w:val="22"/>
          <w:szCs w:val="22"/>
        </w:rPr>
        <w:t>C</w:t>
      </w:r>
      <w:r w:rsidR="00512D41">
        <w:rPr>
          <w:b w:val="0"/>
          <w:sz w:val="22"/>
          <w:szCs w:val="22"/>
        </w:rPr>
        <w:t>onstraining SRS switching to CCs with same TAG as another PUSCH CC may be too restrictive. We propose to support SRS switching from/to cells with same or different TAG.</w:t>
      </w:r>
    </w:p>
    <w:p w14:paraId="7CC37C7D" w14:textId="26BE0298" w:rsidR="002C3E80" w:rsidRDefault="002C3E80" w:rsidP="002C3E80">
      <w:pPr>
        <w:pStyle w:val="LGTdoc1"/>
        <w:spacing w:beforeLines="0" w:before="120" w:after="220" w:afterAutospacing="0"/>
        <w:rPr>
          <w:sz w:val="22"/>
          <w:szCs w:val="22"/>
        </w:rPr>
      </w:pPr>
      <w:r w:rsidRPr="002C3E80">
        <w:rPr>
          <w:sz w:val="22"/>
          <w:szCs w:val="22"/>
          <w:u w:val="single"/>
        </w:rPr>
        <w:t>Observation 1:</w:t>
      </w:r>
      <w:r>
        <w:rPr>
          <w:sz w:val="22"/>
          <w:szCs w:val="22"/>
        </w:rPr>
        <w:t xml:space="preserve"> For SRS transmission over a first CC belonging to the same TAG as a second CC, the initial TA can be obtained from the second CC. Initial transmit power should be obtained separately.</w:t>
      </w:r>
    </w:p>
    <w:p w14:paraId="717DE2E4" w14:textId="6FDAAA09" w:rsidR="00512D41" w:rsidRDefault="00512D41" w:rsidP="00512D41">
      <w:pPr>
        <w:pStyle w:val="LGTdoc1"/>
        <w:spacing w:beforeLines="0" w:before="120" w:after="220" w:afterAutospacing="0"/>
        <w:rPr>
          <w:sz w:val="22"/>
          <w:szCs w:val="22"/>
        </w:rPr>
      </w:pPr>
      <w:r>
        <w:rPr>
          <w:sz w:val="22"/>
          <w:szCs w:val="22"/>
          <w:u w:val="single"/>
        </w:rPr>
        <w:t xml:space="preserve">Proposal </w:t>
      </w:r>
      <w:r w:rsidRPr="002C3E80">
        <w:rPr>
          <w:sz w:val="22"/>
          <w:szCs w:val="22"/>
          <w:u w:val="single"/>
        </w:rPr>
        <w:t>1:</w:t>
      </w:r>
      <w:r>
        <w:rPr>
          <w:sz w:val="22"/>
          <w:szCs w:val="22"/>
        </w:rPr>
        <w:t xml:space="preserve"> SRS switching can be performed regardless of whether SRS CC and PUSCH CC are in the same TAG or different TAGs.</w:t>
      </w:r>
    </w:p>
    <w:p w14:paraId="78C9D1AD" w14:textId="77777777" w:rsidR="00512D41" w:rsidRDefault="00512D41" w:rsidP="002C3E80">
      <w:pPr>
        <w:pStyle w:val="LGTdoc1"/>
        <w:spacing w:beforeLines="0" w:before="120" w:after="220" w:afterAutospacing="0"/>
        <w:rPr>
          <w:sz w:val="22"/>
          <w:szCs w:val="22"/>
        </w:rPr>
      </w:pPr>
    </w:p>
    <w:p w14:paraId="2A7E0572" w14:textId="048CB7E6" w:rsidR="003E30ED" w:rsidRDefault="002C3E80" w:rsidP="003E30ED">
      <w:pPr>
        <w:pStyle w:val="LGTdoc1"/>
        <w:spacing w:beforeLines="0" w:before="120" w:after="220" w:afterAutospacing="0"/>
        <w:rPr>
          <w:b w:val="0"/>
          <w:sz w:val="22"/>
          <w:szCs w:val="22"/>
        </w:rPr>
      </w:pPr>
      <w:r>
        <w:rPr>
          <w:b w:val="0"/>
          <w:sz w:val="22"/>
          <w:szCs w:val="22"/>
        </w:rPr>
        <w:lastRenderedPageBreak/>
        <w:t xml:space="preserve">In order to solve the initial TA and power transmission, the UE can transmit PRACH over the SRS </w:t>
      </w:r>
      <w:proofErr w:type="spellStart"/>
      <w:r>
        <w:rPr>
          <w:b w:val="0"/>
          <w:sz w:val="22"/>
          <w:szCs w:val="22"/>
        </w:rPr>
        <w:t>SCell</w:t>
      </w:r>
      <w:proofErr w:type="spellEnd"/>
      <w:r>
        <w:rPr>
          <w:b w:val="0"/>
          <w:sz w:val="22"/>
          <w:szCs w:val="22"/>
        </w:rPr>
        <w:t xml:space="preserve">. </w:t>
      </w:r>
      <w:r w:rsidR="003E30ED">
        <w:rPr>
          <w:b w:val="0"/>
          <w:sz w:val="22"/>
          <w:szCs w:val="22"/>
        </w:rPr>
        <w:t xml:space="preserve">As the SRS configuration is performed after a UE is in connected mode, the PRACH transmission can be performed in a non-contention manner. The PRACH transmission in the CC has to follow similar constraints as the SRS transmission, i.e., the PRACH transmission has to be TDM with transmission in other CC following the CA capabilities of the UE. For example, if a UE supports only one uplink CC, the transmission of PRACH in a given set of </w:t>
      </w:r>
      <w:proofErr w:type="spellStart"/>
      <w:r w:rsidR="003E30ED">
        <w:rPr>
          <w:b w:val="0"/>
          <w:sz w:val="22"/>
          <w:szCs w:val="22"/>
        </w:rPr>
        <w:t>subframes</w:t>
      </w:r>
      <w:proofErr w:type="spellEnd"/>
      <w:r w:rsidR="003E30ED">
        <w:rPr>
          <w:b w:val="0"/>
          <w:sz w:val="22"/>
          <w:szCs w:val="22"/>
        </w:rPr>
        <w:t xml:space="preserve"> cannot overlap with PUSCH/PUCCH/SRS transmission in any other carrier. Some additional constraints may be introduced due to the necessary time to switch between CC.</w:t>
      </w:r>
    </w:p>
    <w:p w14:paraId="5B8F622D" w14:textId="25F9A285" w:rsidR="002C3E80" w:rsidRPr="002C3E80" w:rsidRDefault="002C3E80" w:rsidP="002C3E80">
      <w:pPr>
        <w:pStyle w:val="LGTdoc1"/>
        <w:spacing w:beforeLines="0" w:before="120" w:after="220" w:afterAutospacing="0"/>
        <w:rPr>
          <w:sz w:val="22"/>
          <w:szCs w:val="22"/>
        </w:rPr>
      </w:pPr>
      <w:r w:rsidRPr="002C3E80">
        <w:rPr>
          <w:sz w:val="22"/>
          <w:szCs w:val="22"/>
          <w:u w:val="single"/>
        </w:rPr>
        <w:t xml:space="preserve">Proposal </w:t>
      </w:r>
      <w:r w:rsidR="00512D41">
        <w:rPr>
          <w:sz w:val="22"/>
          <w:szCs w:val="22"/>
          <w:u w:val="single"/>
        </w:rPr>
        <w:t>2</w:t>
      </w:r>
      <w:r w:rsidRPr="002C3E80">
        <w:rPr>
          <w:sz w:val="22"/>
          <w:szCs w:val="22"/>
          <w:u w:val="single"/>
        </w:rPr>
        <w:t>:</w:t>
      </w:r>
      <w:r>
        <w:rPr>
          <w:sz w:val="22"/>
          <w:szCs w:val="22"/>
        </w:rPr>
        <w:t xml:space="preserve"> Support non-contention based PRACH transmission over SRS </w:t>
      </w:r>
      <w:proofErr w:type="spellStart"/>
      <w:r>
        <w:rPr>
          <w:sz w:val="22"/>
          <w:szCs w:val="22"/>
        </w:rPr>
        <w:t>SCell</w:t>
      </w:r>
      <w:proofErr w:type="spellEnd"/>
      <w:r>
        <w:rPr>
          <w:sz w:val="22"/>
          <w:szCs w:val="22"/>
        </w:rPr>
        <w:t xml:space="preserve"> to obtain initial timing and transmit power values.</w:t>
      </w:r>
    </w:p>
    <w:p w14:paraId="5FAB739D" w14:textId="0089132C" w:rsidR="002C3E80" w:rsidRPr="002C3E80" w:rsidRDefault="002C3E80" w:rsidP="002C3E80">
      <w:pPr>
        <w:pStyle w:val="LGTdoc1"/>
        <w:spacing w:beforeLines="0" w:before="120" w:after="220" w:afterAutospacing="0"/>
        <w:rPr>
          <w:b w:val="0"/>
          <w:sz w:val="22"/>
          <w:szCs w:val="22"/>
        </w:rPr>
      </w:pPr>
      <w:r w:rsidRPr="002C3E80">
        <w:rPr>
          <w:b w:val="0"/>
          <w:sz w:val="22"/>
          <w:szCs w:val="22"/>
        </w:rPr>
        <w:t xml:space="preserve">Once the initial transmit </w:t>
      </w:r>
      <w:r>
        <w:rPr>
          <w:b w:val="0"/>
          <w:sz w:val="22"/>
          <w:szCs w:val="22"/>
        </w:rPr>
        <w:t xml:space="preserve">power and TA are </w:t>
      </w:r>
      <w:r w:rsidR="006E3DE5">
        <w:rPr>
          <w:b w:val="0"/>
          <w:sz w:val="22"/>
          <w:szCs w:val="22"/>
        </w:rPr>
        <w:t>set</w:t>
      </w:r>
      <w:r>
        <w:rPr>
          <w:b w:val="0"/>
          <w:sz w:val="22"/>
          <w:szCs w:val="22"/>
        </w:rPr>
        <w:t xml:space="preserve">, </w:t>
      </w:r>
      <w:r w:rsidR="006E3DE5">
        <w:rPr>
          <w:b w:val="0"/>
          <w:sz w:val="22"/>
          <w:szCs w:val="22"/>
        </w:rPr>
        <w:t xml:space="preserve">mechanisms </w:t>
      </w:r>
      <w:r w:rsidR="002F7AC1">
        <w:rPr>
          <w:b w:val="0"/>
          <w:sz w:val="22"/>
          <w:szCs w:val="22"/>
        </w:rPr>
        <w:t xml:space="preserve">are available </w:t>
      </w:r>
      <w:r w:rsidR="006E3DE5">
        <w:rPr>
          <w:b w:val="0"/>
          <w:sz w:val="22"/>
          <w:szCs w:val="22"/>
        </w:rPr>
        <w:t>to provide power control and TA commands.</w:t>
      </w:r>
    </w:p>
    <w:p w14:paraId="58BC299E" w14:textId="67CCEEFC" w:rsidR="00502895" w:rsidRDefault="00502895" w:rsidP="00502895">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Power control</w:t>
      </w:r>
    </w:p>
    <w:p w14:paraId="24E8D2FC" w14:textId="7D2B4A56" w:rsidR="002C3E80" w:rsidRDefault="006E3DE5" w:rsidP="002C3E80">
      <w:pPr>
        <w:pStyle w:val="LGTdoc1"/>
        <w:spacing w:beforeLines="0" w:before="120" w:after="220" w:afterAutospacing="0"/>
        <w:rPr>
          <w:b w:val="0"/>
          <w:sz w:val="22"/>
          <w:szCs w:val="22"/>
        </w:rPr>
      </w:pPr>
      <w:r>
        <w:rPr>
          <w:b w:val="0"/>
          <w:sz w:val="22"/>
          <w:szCs w:val="22"/>
        </w:rPr>
        <w:t>Power control should be supported similarly to power control for SRS in carriers with PUSCH:</w:t>
      </w:r>
    </w:p>
    <w:p w14:paraId="35DB83E2" w14:textId="77777777" w:rsidR="006E3DE5" w:rsidRPr="00E9040D" w:rsidRDefault="006E3DE5" w:rsidP="006E3DE5">
      <w:pPr>
        <w:pStyle w:val="EQ"/>
        <w:spacing w:before="120"/>
        <w:ind w:firstLine="216"/>
        <w:jc w:val="center"/>
      </w:pPr>
      <w:r w:rsidRPr="00E9040D">
        <w:rPr>
          <w:position w:val="-14"/>
        </w:rPr>
        <w:object w:dxaOrig="9220" w:dyaOrig="420" w14:anchorId="2215B5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95pt;height:21.3pt" o:ole="">
            <v:imagedata r:id="rId14" o:title=""/>
          </v:shape>
          <o:OLEObject Type="Embed" ProgID="Equation.3" ShapeID="_x0000_i1025" DrawAspect="Content" ObjectID="_1524675756" r:id="rId15"/>
        </w:object>
      </w:r>
      <w:r w:rsidRPr="00E9040D">
        <w:t xml:space="preserve"> [dBm]</w:t>
      </w:r>
    </w:p>
    <w:p w14:paraId="61421869" w14:textId="2DE403A7" w:rsidR="006E3DE5" w:rsidRDefault="006E3DE5" w:rsidP="002C3E80">
      <w:pPr>
        <w:pStyle w:val="LGTdoc1"/>
        <w:spacing w:beforeLines="0" w:before="120" w:after="220" w:afterAutospacing="0"/>
        <w:rPr>
          <w:b w:val="0"/>
          <w:sz w:val="22"/>
          <w:szCs w:val="22"/>
        </w:rPr>
      </w:pPr>
      <w:r>
        <w:rPr>
          <w:b w:val="0"/>
          <w:sz w:val="22"/>
          <w:szCs w:val="22"/>
        </w:rPr>
        <w:t>In this case, the following values have to be signalled/calculated additionally for the SRS-only carrier:</w:t>
      </w:r>
    </w:p>
    <w:p w14:paraId="15184A1B" w14:textId="3FAF58C6" w:rsidR="006E3DE5" w:rsidRPr="006E3DE5" w:rsidRDefault="006E3DE5" w:rsidP="006E3DE5">
      <w:pPr>
        <w:pStyle w:val="LGTdoc1"/>
        <w:numPr>
          <w:ilvl w:val="0"/>
          <w:numId w:val="48"/>
        </w:numPr>
        <w:spacing w:beforeLines="0" w:before="120" w:after="220" w:afterAutospacing="0"/>
        <w:rPr>
          <w:b w:val="0"/>
          <w:sz w:val="22"/>
          <w:szCs w:val="22"/>
        </w:rPr>
      </w:pPr>
      <w:r w:rsidRPr="00497C77">
        <w:rPr>
          <w:position w:val="-14"/>
        </w:rPr>
        <w:object w:dxaOrig="1240" w:dyaOrig="380" w14:anchorId="57D5D87C">
          <v:shape id="_x0000_i1026" type="#_x0000_t75" style="width:61.65pt;height:19.6pt" o:ole="">
            <v:imagedata r:id="rId16" o:title=""/>
          </v:shape>
          <o:OLEObject Type="Embed" ProgID="Equation.3" ShapeID="_x0000_i1026" DrawAspect="Content" ObjectID="_1524675757" r:id="rId17"/>
        </w:object>
      </w:r>
    </w:p>
    <w:p w14:paraId="46B9D9E7" w14:textId="3914EFFA" w:rsidR="006E3DE5" w:rsidRPr="006E3DE5" w:rsidRDefault="006E3DE5" w:rsidP="006E3DE5">
      <w:pPr>
        <w:pStyle w:val="LGTdoc1"/>
        <w:numPr>
          <w:ilvl w:val="0"/>
          <w:numId w:val="48"/>
        </w:numPr>
        <w:spacing w:beforeLines="0" w:before="120" w:after="220" w:afterAutospacing="0"/>
        <w:rPr>
          <w:b w:val="0"/>
          <w:sz w:val="22"/>
          <w:szCs w:val="22"/>
        </w:rPr>
      </w:pPr>
      <w:r w:rsidRPr="00497C77">
        <w:rPr>
          <w:position w:val="-12"/>
        </w:rPr>
        <w:object w:dxaOrig="600" w:dyaOrig="360" w14:anchorId="71A3EF01">
          <v:shape id="_x0000_i1027" type="#_x0000_t75" style="width:29.95pt;height:18.45pt" o:ole="">
            <v:imagedata r:id="rId18" o:title=""/>
          </v:shape>
          <o:OLEObject Type="Embed" ProgID="Equation.3" ShapeID="_x0000_i1027" DrawAspect="Content" ObjectID="_1524675758" r:id="rId19"/>
        </w:object>
      </w:r>
    </w:p>
    <w:p w14:paraId="7063C5C9" w14:textId="4DE7B12F" w:rsidR="006E3DE5" w:rsidRPr="006E3DE5" w:rsidRDefault="006E3DE5" w:rsidP="006E3DE5">
      <w:pPr>
        <w:pStyle w:val="LGTdoc1"/>
        <w:numPr>
          <w:ilvl w:val="0"/>
          <w:numId w:val="48"/>
        </w:numPr>
        <w:spacing w:beforeLines="0" w:before="120" w:after="220" w:afterAutospacing="0"/>
        <w:rPr>
          <w:b w:val="0"/>
          <w:sz w:val="22"/>
          <w:szCs w:val="22"/>
        </w:rPr>
      </w:pPr>
      <w:r w:rsidRPr="00497C77">
        <w:rPr>
          <w:position w:val="-12"/>
        </w:rPr>
        <w:object w:dxaOrig="580" w:dyaOrig="360" w14:anchorId="22C72BCA">
          <v:shape id="_x0000_i1028" type="#_x0000_t75" style="width:28.2pt;height:18.45pt" o:ole="">
            <v:imagedata r:id="rId20" o:title=""/>
          </v:shape>
          <o:OLEObject Type="Embed" ProgID="Equation.3" ShapeID="_x0000_i1028" DrawAspect="Content" ObjectID="_1524675759" r:id="rId21"/>
        </w:object>
      </w:r>
    </w:p>
    <w:p w14:paraId="1D6ADBA3" w14:textId="76503A48" w:rsidR="006E3DE5" w:rsidRDefault="006E3DE5" w:rsidP="002C3E80">
      <w:pPr>
        <w:pStyle w:val="LGTdoc1"/>
        <w:spacing w:beforeLines="0" w:before="120" w:after="220" w:afterAutospacing="0"/>
        <w:rPr>
          <w:b w:val="0"/>
          <w:sz w:val="22"/>
          <w:szCs w:val="22"/>
        </w:rPr>
      </w:pPr>
      <w:r>
        <w:rPr>
          <w:b w:val="0"/>
          <w:sz w:val="22"/>
          <w:szCs w:val="22"/>
        </w:rPr>
        <w:t>For the calculation of</w:t>
      </w:r>
      <w:r w:rsidRPr="00497C77">
        <w:rPr>
          <w:position w:val="-12"/>
        </w:rPr>
        <w:object w:dxaOrig="580" w:dyaOrig="360" w14:anchorId="79147AC2">
          <v:shape id="_x0000_i1029" type="#_x0000_t75" style="width:28.2pt;height:18.45pt" o:ole="">
            <v:imagedata r:id="rId20" o:title=""/>
          </v:shape>
          <o:OLEObject Type="Embed" ProgID="Equation.3" ShapeID="_x0000_i1029" DrawAspect="Content" ObjectID="_1524675760" r:id="rId22"/>
        </w:object>
      </w:r>
      <w:r w:rsidRPr="006E3DE5">
        <w:rPr>
          <w:b w:val="0"/>
          <w:sz w:val="22"/>
          <w:szCs w:val="22"/>
        </w:rPr>
        <w:t>,</w:t>
      </w:r>
      <w:r>
        <w:t xml:space="preserve"> </w:t>
      </w:r>
      <w:r w:rsidRPr="006E3DE5">
        <w:rPr>
          <w:b w:val="0"/>
          <w:sz w:val="22"/>
          <w:szCs w:val="22"/>
        </w:rPr>
        <w:t>power</w:t>
      </w:r>
      <w:r>
        <w:rPr>
          <w:b w:val="0"/>
          <w:sz w:val="22"/>
          <w:szCs w:val="22"/>
        </w:rPr>
        <w:t xml:space="preserve"> control commands have to be provided for the SRS-only carrier. </w:t>
      </w:r>
      <w:r w:rsidR="0056158E">
        <w:rPr>
          <w:b w:val="0"/>
          <w:sz w:val="22"/>
          <w:szCs w:val="22"/>
        </w:rPr>
        <w:t xml:space="preserve">For both </w:t>
      </w:r>
      <w:r>
        <w:rPr>
          <w:b w:val="0"/>
          <w:sz w:val="22"/>
          <w:szCs w:val="22"/>
        </w:rPr>
        <w:t xml:space="preserve">periodic SRS </w:t>
      </w:r>
      <w:r w:rsidR="0056158E">
        <w:rPr>
          <w:b w:val="0"/>
          <w:sz w:val="22"/>
          <w:szCs w:val="22"/>
        </w:rPr>
        <w:t>and aperiodic SRS</w:t>
      </w:r>
      <w:r>
        <w:rPr>
          <w:b w:val="0"/>
          <w:sz w:val="22"/>
          <w:szCs w:val="22"/>
        </w:rPr>
        <w:t xml:space="preserve">, the power control can be jointly provided to a group of UEs by using group power control grants (e.g. DCI 3/3A). For aperiodic SRS support, the power control can be </w:t>
      </w:r>
      <w:r w:rsidR="0056158E">
        <w:rPr>
          <w:b w:val="0"/>
          <w:sz w:val="22"/>
          <w:szCs w:val="22"/>
        </w:rPr>
        <w:t xml:space="preserve">additionally </w:t>
      </w:r>
      <w:r>
        <w:rPr>
          <w:b w:val="0"/>
          <w:sz w:val="22"/>
          <w:szCs w:val="22"/>
        </w:rPr>
        <w:t>provided in the grant that triggers the SRS transmission.</w:t>
      </w:r>
      <w:r w:rsidR="00512D41">
        <w:rPr>
          <w:b w:val="0"/>
          <w:sz w:val="22"/>
          <w:szCs w:val="22"/>
        </w:rPr>
        <w:t xml:space="preserve"> The initial value </w:t>
      </w:r>
      <w:r w:rsidR="00512D41" w:rsidRPr="00497C77">
        <w:rPr>
          <w:position w:val="-12"/>
        </w:rPr>
        <w:object w:dxaOrig="620" w:dyaOrig="360" w14:anchorId="3578D4D9">
          <v:shape id="_x0000_i1030" type="#_x0000_t75" style="width:31.1pt;height:18.45pt" o:ole="">
            <v:imagedata r:id="rId23" o:title=""/>
          </v:shape>
          <o:OLEObject Type="Embed" ProgID="Equation.3" ShapeID="_x0000_i1030" DrawAspect="Content" ObjectID="_1524675761" r:id="rId24"/>
        </w:object>
      </w:r>
      <w:r w:rsidR="00512D41" w:rsidRPr="00512D41">
        <w:rPr>
          <w:b w:val="0"/>
          <w:sz w:val="22"/>
          <w:szCs w:val="22"/>
        </w:rPr>
        <w:t>can be cal</w:t>
      </w:r>
      <w:r w:rsidR="00512D41">
        <w:rPr>
          <w:b w:val="0"/>
          <w:sz w:val="22"/>
          <w:szCs w:val="22"/>
        </w:rPr>
        <w:t>culated based on the last successful PRACH transmission.</w:t>
      </w:r>
    </w:p>
    <w:p w14:paraId="2778CC77" w14:textId="4CF2A4F9" w:rsidR="006E3DE5" w:rsidRDefault="006E3DE5" w:rsidP="002C3E80">
      <w:pPr>
        <w:pStyle w:val="LGTdoc1"/>
        <w:spacing w:beforeLines="0" w:before="120" w:after="220" w:afterAutospacing="0"/>
        <w:rPr>
          <w:sz w:val="22"/>
          <w:szCs w:val="22"/>
        </w:rPr>
      </w:pPr>
      <w:r w:rsidRPr="006E3DE5">
        <w:rPr>
          <w:sz w:val="22"/>
          <w:szCs w:val="22"/>
          <w:u w:val="single"/>
        </w:rPr>
        <w:t xml:space="preserve">Proposal </w:t>
      </w:r>
      <w:r w:rsidR="00512D41">
        <w:rPr>
          <w:sz w:val="22"/>
          <w:szCs w:val="22"/>
          <w:u w:val="single"/>
        </w:rPr>
        <w:t>3</w:t>
      </w:r>
      <w:r w:rsidRPr="006E3DE5">
        <w:rPr>
          <w:sz w:val="22"/>
          <w:szCs w:val="22"/>
          <w:u w:val="single"/>
        </w:rPr>
        <w:t>:</w:t>
      </w:r>
      <w:r>
        <w:rPr>
          <w:sz w:val="22"/>
          <w:szCs w:val="22"/>
          <w:u w:val="single"/>
        </w:rPr>
        <w:t xml:space="preserve"> </w:t>
      </w:r>
      <w:r>
        <w:rPr>
          <w:sz w:val="22"/>
          <w:szCs w:val="22"/>
        </w:rPr>
        <w:t>Support power control of SRS for CC without PUSCH. The power control can be provided as follows:</w:t>
      </w:r>
    </w:p>
    <w:p w14:paraId="27625D0E" w14:textId="73500282" w:rsidR="006E3DE5" w:rsidRPr="006E3DE5" w:rsidRDefault="006E3DE5" w:rsidP="006E3DE5">
      <w:pPr>
        <w:pStyle w:val="LGTdoc1"/>
        <w:numPr>
          <w:ilvl w:val="0"/>
          <w:numId w:val="47"/>
        </w:numPr>
        <w:spacing w:beforeLines="0" w:before="120" w:after="220" w:afterAutospacing="0"/>
        <w:rPr>
          <w:rFonts w:ascii="Arial" w:hAnsi="Arial" w:cs="Arial"/>
          <w:lang w:val="en-US"/>
        </w:rPr>
      </w:pPr>
      <w:r>
        <w:rPr>
          <w:sz w:val="22"/>
          <w:szCs w:val="22"/>
        </w:rPr>
        <w:t>For periodic SRS, via DCI 3/3A</w:t>
      </w:r>
    </w:p>
    <w:p w14:paraId="3BF91B54" w14:textId="53A53C24" w:rsidR="00502895" w:rsidRDefault="006E3DE5" w:rsidP="006E3DE5">
      <w:pPr>
        <w:pStyle w:val="LGTdoc1"/>
        <w:numPr>
          <w:ilvl w:val="0"/>
          <w:numId w:val="47"/>
        </w:numPr>
        <w:spacing w:beforeLines="0" w:before="120" w:after="220" w:afterAutospacing="0"/>
        <w:rPr>
          <w:rFonts w:ascii="Arial" w:hAnsi="Arial" w:cs="Arial"/>
          <w:lang w:val="en-US"/>
        </w:rPr>
      </w:pPr>
      <w:r>
        <w:rPr>
          <w:sz w:val="22"/>
          <w:szCs w:val="22"/>
        </w:rPr>
        <w:t>For aperiodic SRS, via DCI 3/3A or field in the trigger DCI</w:t>
      </w:r>
      <w:r>
        <w:rPr>
          <w:rFonts w:ascii="Arial" w:hAnsi="Arial" w:cs="Arial"/>
          <w:lang w:val="en-US"/>
        </w:rPr>
        <w:t xml:space="preserve"> </w:t>
      </w:r>
    </w:p>
    <w:p w14:paraId="49025239" w14:textId="77777777" w:rsidR="006E3DE5" w:rsidRDefault="006E3DE5" w:rsidP="006E3DE5">
      <w:pPr>
        <w:pStyle w:val="LGTdoc1"/>
        <w:spacing w:beforeLines="0" w:before="120" w:after="220" w:afterAutospacing="0"/>
        <w:ind w:left="720"/>
        <w:rPr>
          <w:rFonts w:ascii="Arial" w:hAnsi="Arial" w:cs="Arial"/>
          <w:lang w:val="en-US"/>
        </w:rPr>
      </w:pPr>
    </w:p>
    <w:p w14:paraId="71F324A2" w14:textId="4357EB60" w:rsidR="00502895" w:rsidRDefault="00502895" w:rsidP="00502895">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Timing alignment</w:t>
      </w:r>
    </w:p>
    <w:p w14:paraId="62D3861D" w14:textId="1A6F3F22" w:rsidR="00502895" w:rsidRDefault="006E3DE5" w:rsidP="006E3DE5">
      <w:pPr>
        <w:pStyle w:val="LGTdoc1"/>
        <w:spacing w:beforeLines="0" w:before="120" w:after="220" w:afterAutospacing="0"/>
        <w:rPr>
          <w:b w:val="0"/>
          <w:sz w:val="22"/>
          <w:szCs w:val="22"/>
        </w:rPr>
      </w:pPr>
      <w:r>
        <w:rPr>
          <w:b w:val="0"/>
          <w:sz w:val="22"/>
          <w:szCs w:val="22"/>
        </w:rPr>
        <w:t>Timing advanced commands can be supported similarly to legacy CA, and may be provided by MAC signalling for the TAG containing the SRS-only carrier.</w:t>
      </w:r>
    </w:p>
    <w:p w14:paraId="42CD235C" w14:textId="5971AC47" w:rsidR="006E3DE5" w:rsidRDefault="006E3DE5" w:rsidP="006E3DE5">
      <w:pPr>
        <w:pStyle w:val="LGTdoc1"/>
        <w:spacing w:beforeLines="0" w:before="120" w:after="220" w:afterAutospacing="0"/>
        <w:rPr>
          <w:sz w:val="22"/>
          <w:szCs w:val="22"/>
        </w:rPr>
      </w:pPr>
      <w:r w:rsidRPr="006E3DE5">
        <w:rPr>
          <w:sz w:val="22"/>
          <w:szCs w:val="22"/>
          <w:u w:val="single"/>
        </w:rPr>
        <w:t>Proposal</w:t>
      </w:r>
      <w:r>
        <w:rPr>
          <w:sz w:val="22"/>
          <w:szCs w:val="22"/>
          <w:u w:val="single"/>
        </w:rPr>
        <w:t xml:space="preserve"> </w:t>
      </w:r>
      <w:r w:rsidR="00512D41">
        <w:rPr>
          <w:sz w:val="22"/>
          <w:szCs w:val="22"/>
          <w:u w:val="single"/>
        </w:rPr>
        <w:t>4</w:t>
      </w:r>
      <w:r>
        <w:rPr>
          <w:sz w:val="22"/>
          <w:szCs w:val="22"/>
          <w:u w:val="single"/>
        </w:rPr>
        <w:t xml:space="preserve">: </w:t>
      </w:r>
      <w:r>
        <w:rPr>
          <w:sz w:val="22"/>
          <w:szCs w:val="22"/>
        </w:rPr>
        <w:t>Timing advance commands are supported for SRS-only carriers, similarly to TAG support for CC with PUSCH.</w:t>
      </w:r>
    </w:p>
    <w:p w14:paraId="210166DE" w14:textId="77777777" w:rsidR="006E3DE5" w:rsidRDefault="006E3DE5" w:rsidP="006E3DE5">
      <w:pPr>
        <w:pStyle w:val="LGTdoc1"/>
        <w:spacing w:beforeLines="0" w:before="120" w:after="220" w:afterAutospacing="0"/>
        <w:rPr>
          <w:sz w:val="22"/>
          <w:szCs w:val="22"/>
        </w:rPr>
      </w:pPr>
    </w:p>
    <w:p w14:paraId="38DA126B" w14:textId="4DCE69FB" w:rsidR="006E3DE5" w:rsidRDefault="006E3DE5" w:rsidP="006E3DE5">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lastRenderedPageBreak/>
        <w:t>Impact of switching time</w:t>
      </w:r>
    </w:p>
    <w:p w14:paraId="27671695" w14:textId="525E59E8" w:rsidR="006E3DE5" w:rsidRPr="006E3DE5" w:rsidRDefault="00145211" w:rsidP="006E3DE5">
      <w:pPr>
        <w:pStyle w:val="LGTdoc1"/>
        <w:spacing w:beforeLines="0" w:before="120" w:after="220" w:afterAutospacing="0"/>
        <w:rPr>
          <w:rFonts w:ascii="Arial" w:hAnsi="Arial" w:cs="Arial"/>
          <w:lang w:val="en-US"/>
        </w:rPr>
      </w:pPr>
      <w:r>
        <w:rPr>
          <w:b w:val="0"/>
          <w:sz w:val="22"/>
          <w:szCs w:val="22"/>
        </w:rPr>
        <w:t xml:space="preserve">In cases where there is a large number of DL CC configured, it may be useful for the </w:t>
      </w:r>
      <w:proofErr w:type="spellStart"/>
      <w:r>
        <w:rPr>
          <w:b w:val="0"/>
          <w:sz w:val="22"/>
          <w:szCs w:val="22"/>
        </w:rPr>
        <w:t>eNB</w:t>
      </w:r>
      <w:proofErr w:type="spellEnd"/>
      <w:r>
        <w:rPr>
          <w:b w:val="0"/>
          <w:sz w:val="22"/>
          <w:szCs w:val="22"/>
        </w:rPr>
        <w:t xml:space="preserve"> to use more than one symbol for SRS transmission in a given </w:t>
      </w:r>
      <w:proofErr w:type="spellStart"/>
      <w:r>
        <w:rPr>
          <w:b w:val="0"/>
          <w:sz w:val="22"/>
          <w:szCs w:val="22"/>
        </w:rPr>
        <w:t>subframe</w:t>
      </w:r>
      <w:proofErr w:type="spellEnd"/>
      <w:r>
        <w:rPr>
          <w:b w:val="0"/>
          <w:sz w:val="22"/>
          <w:szCs w:val="22"/>
        </w:rPr>
        <w:t xml:space="preserve">. This can be performed in </w:t>
      </w:r>
      <w:proofErr w:type="spellStart"/>
      <w:r>
        <w:rPr>
          <w:b w:val="0"/>
          <w:sz w:val="22"/>
          <w:szCs w:val="22"/>
        </w:rPr>
        <w:t>UpPTS</w:t>
      </w:r>
      <w:proofErr w:type="spellEnd"/>
      <w:r>
        <w:rPr>
          <w:b w:val="0"/>
          <w:sz w:val="22"/>
          <w:szCs w:val="22"/>
        </w:rPr>
        <w:t xml:space="preserve"> (especially for 6-symbol </w:t>
      </w:r>
      <w:proofErr w:type="spellStart"/>
      <w:r>
        <w:rPr>
          <w:b w:val="0"/>
          <w:sz w:val="22"/>
          <w:szCs w:val="22"/>
        </w:rPr>
        <w:t>UpPTS</w:t>
      </w:r>
      <w:proofErr w:type="spellEnd"/>
      <w:r>
        <w:rPr>
          <w:b w:val="0"/>
          <w:sz w:val="22"/>
          <w:szCs w:val="22"/>
        </w:rPr>
        <w:t xml:space="preserve">) following current specification, but multiple SRS transmissions in regular uplink </w:t>
      </w:r>
      <w:proofErr w:type="spellStart"/>
      <w:r>
        <w:rPr>
          <w:b w:val="0"/>
          <w:sz w:val="22"/>
          <w:szCs w:val="22"/>
        </w:rPr>
        <w:t>subframes</w:t>
      </w:r>
      <w:proofErr w:type="spellEnd"/>
      <w:r>
        <w:rPr>
          <w:b w:val="0"/>
          <w:sz w:val="22"/>
          <w:szCs w:val="22"/>
        </w:rPr>
        <w:t xml:space="preserve"> may also be useful. For example, if the UE needs to sound 3</w:t>
      </w:r>
      <w:r w:rsidR="00641AE7">
        <w:rPr>
          <w:b w:val="0"/>
          <w:sz w:val="22"/>
          <w:szCs w:val="22"/>
        </w:rPr>
        <w:t xml:space="preserve"> </w:t>
      </w:r>
      <w:r>
        <w:rPr>
          <w:b w:val="0"/>
          <w:sz w:val="22"/>
          <w:szCs w:val="22"/>
        </w:rPr>
        <w:t>CC</w:t>
      </w:r>
      <w:r w:rsidR="00641AE7">
        <w:rPr>
          <w:b w:val="0"/>
          <w:sz w:val="22"/>
          <w:szCs w:val="22"/>
        </w:rPr>
        <w:t>s</w:t>
      </w:r>
      <w:r>
        <w:rPr>
          <w:b w:val="0"/>
          <w:sz w:val="22"/>
          <w:szCs w:val="22"/>
        </w:rPr>
        <w:t xml:space="preserve"> and the switch time is 1 symbol, it will take 3 </w:t>
      </w:r>
      <w:proofErr w:type="spellStart"/>
      <w:r>
        <w:rPr>
          <w:b w:val="0"/>
          <w:sz w:val="22"/>
          <w:szCs w:val="22"/>
        </w:rPr>
        <w:t>subframes</w:t>
      </w:r>
      <w:proofErr w:type="spellEnd"/>
      <w:r>
        <w:rPr>
          <w:b w:val="0"/>
          <w:sz w:val="22"/>
          <w:szCs w:val="22"/>
        </w:rPr>
        <w:t xml:space="preserve"> for the UE to sound the 3</w:t>
      </w:r>
      <w:r w:rsidR="00641AE7">
        <w:rPr>
          <w:b w:val="0"/>
          <w:sz w:val="22"/>
          <w:szCs w:val="22"/>
        </w:rPr>
        <w:t xml:space="preserve"> </w:t>
      </w:r>
      <w:r>
        <w:rPr>
          <w:b w:val="0"/>
          <w:sz w:val="22"/>
          <w:szCs w:val="22"/>
        </w:rPr>
        <w:t>CC</w:t>
      </w:r>
      <w:r w:rsidR="00641AE7">
        <w:rPr>
          <w:b w:val="0"/>
          <w:sz w:val="22"/>
          <w:szCs w:val="22"/>
        </w:rPr>
        <w:t>s</w:t>
      </w:r>
      <w:r>
        <w:rPr>
          <w:b w:val="0"/>
          <w:sz w:val="22"/>
          <w:szCs w:val="22"/>
        </w:rPr>
        <w:t xml:space="preserve">, and 6 additional symbols would be lost due to retuning (total of 9 symbol interruption: 3 for SRS transmission + 6 for retuning). If SRS </w:t>
      </w:r>
      <w:proofErr w:type="spellStart"/>
      <w:r>
        <w:rPr>
          <w:b w:val="0"/>
          <w:sz w:val="22"/>
          <w:szCs w:val="22"/>
        </w:rPr>
        <w:t>subframes</w:t>
      </w:r>
      <w:proofErr w:type="spellEnd"/>
      <w:r>
        <w:rPr>
          <w:b w:val="0"/>
          <w:sz w:val="22"/>
          <w:szCs w:val="22"/>
        </w:rPr>
        <w:t xml:space="preserve"> are supported (e.g. as shown in Figure 1), the total interruption time is only </w:t>
      </w:r>
      <w:r w:rsidR="00DE2B48">
        <w:rPr>
          <w:b w:val="0"/>
          <w:sz w:val="22"/>
          <w:szCs w:val="22"/>
        </w:rPr>
        <w:t>7</w:t>
      </w:r>
      <w:r>
        <w:rPr>
          <w:b w:val="0"/>
          <w:sz w:val="22"/>
          <w:szCs w:val="22"/>
        </w:rPr>
        <w:t xml:space="preserve"> symbols.</w:t>
      </w:r>
    </w:p>
    <w:p w14:paraId="1C33F408" w14:textId="77777777" w:rsidR="00145211" w:rsidRDefault="00512D41" w:rsidP="00145211">
      <w:pPr>
        <w:pStyle w:val="LGTdoc1"/>
        <w:keepNext/>
        <w:spacing w:beforeLines="0" w:before="120" w:after="220" w:afterAutospacing="0"/>
        <w:jc w:val="center"/>
      </w:pPr>
      <w:r w:rsidRPr="00145211">
        <w:rPr>
          <w:b w:val="0"/>
          <w:sz w:val="22"/>
          <w:szCs w:val="22"/>
          <w:lang w:val="en-US"/>
        </w:rPr>
        <w:object w:dxaOrig="6460" w:dyaOrig="6262" w14:anchorId="09066A95">
          <v:shape id="_x0000_i1031" type="#_x0000_t75" style="width:290.9pt;height:281.65pt" o:ole="">
            <v:imagedata r:id="rId25" o:title=""/>
          </v:shape>
          <o:OLEObject Type="Embed" ProgID="Visio.Drawing.11" ShapeID="_x0000_i1031" DrawAspect="Content" ObjectID="_1524675762" r:id="rId26"/>
        </w:object>
      </w:r>
    </w:p>
    <w:p w14:paraId="62F949A7" w14:textId="5453685C" w:rsidR="006674CC" w:rsidRDefault="00145211" w:rsidP="00145211">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Multiple SRS transmission over an SRS </w:t>
      </w:r>
      <w:proofErr w:type="spellStart"/>
      <w:r>
        <w:t>subframe</w:t>
      </w:r>
      <w:proofErr w:type="spellEnd"/>
      <w:r>
        <w:t xml:space="preserve">. The orange UE needs one symbol to retune between two carriers. The </w:t>
      </w:r>
      <w:proofErr w:type="spellStart"/>
      <w:r>
        <w:t>eNB</w:t>
      </w:r>
      <w:proofErr w:type="spellEnd"/>
      <w:r>
        <w:t xml:space="preserve"> can stagger multiple UE to maximize the resource usage. Example with 1 symbol retuning.</w:t>
      </w:r>
    </w:p>
    <w:p w14:paraId="114C0611" w14:textId="77777777" w:rsidR="00145211" w:rsidRDefault="00145211" w:rsidP="00145211">
      <w:pPr>
        <w:rPr>
          <w:lang w:val="en-GB" w:eastAsia="en-US"/>
        </w:rPr>
      </w:pPr>
    </w:p>
    <w:p w14:paraId="02D4EC8A" w14:textId="7BB2E328" w:rsidR="00145211" w:rsidRDefault="00145211" w:rsidP="00145211">
      <w:pPr>
        <w:rPr>
          <w:rFonts w:ascii="Times New Roman"/>
          <w:snapToGrid w:val="0"/>
          <w:kern w:val="0"/>
          <w:sz w:val="22"/>
          <w:szCs w:val="22"/>
          <w:lang w:val="en-GB"/>
        </w:rPr>
      </w:pPr>
      <w:r w:rsidRPr="00145211">
        <w:rPr>
          <w:rFonts w:ascii="Times New Roman"/>
          <w:snapToGrid w:val="0"/>
          <w:kern w:val="0"/>
          <w:sz w:val="22"/>
          <w:szCs w:val="22"/>
          <w:lang w:val="en-GB"/>
        </w:rPr>
        <w:t xml:space="preserve">The SRS </w:t>
      </w:r>
      <w:proofErr w:type="spellStart"/>
      <w:r w:rsidR="00961C79">
        <w:rPr>
          <w:rFonts w:ascii="Times New Roman"/>
          <w:snapToGrid w:val="0"/>
          <w:kern w:val="0"/>
          <w:sz w:val="22"/>
          <w:szCs w:val="22"/>
          <w:lang w:val="en-GB"/>
        </w:rPr>
        <w:t>subframe</w:t>
      </w:r>
      <w:proofErr w:type="spellEnd"/>
      <w:r>
        <w:rPr>
          <w:rFonts w:ascii="Times New Roman"/>
          <w:snapToGrid w:val="0"/>
          <w:kern w:val="0"/>
          <w:sz w:val="22"/>
          <w:szCs w:val="22"/>
          <w:lang w:val="en-GB"/>
        </w:rPr>
        <w:t xml:space="preserve"> can also be </w:t>
      </w:r>
      <w:r w:rsidR="00961C79">
        <w:rPr>
          <w:rFonts w:ascii="Times New Roman"/>
          <w:snapToGrid w:val="0"/>
          <w:kern w:val="0"/>
          <w:sz w:val="22"/>
          <w:szCs w:val="22"/>
          <w:lang w:val="en-GB"/>
        </w:rPr>
        <w:t>exploited</w:t>
      </w:r>
      <w:r>
        <w:rPr>
          <w:rFonts w:ascii="Times New Roman"/>
          <w:snapToGrid w:val="0"/>
          <w:kern w:val="0"/>
          <w:sz w:val="22"/>
          <w:szCs w:val="22"/>
          <w:lang w:val="en-GB"/>
        </w:rPr>
        <w:t xml:space="preserve"> to sound multiple </w:t>
      </w:r>
      <w:proofErr w:type="spellStart"/>
      <w:r>
        <w:rPr>
          <w:rFonts w:ascii="Times New Roman"/>
          <w:snapToGrid w:val="0"/>
          <w:kern w:val="0"/>
          <w:sz w:val="22"/>
          <w:szCs w:val="22"/>
          <w:lang w:val="en-GB"/>
        </w:rPr>
        <w:t>subbands</w:t>
      </w:r>
      <w:proofErr w:type="spellEnd"/>
      <w:r>
        <w:rPr>
          <w:rFonts w:ascii="Times New Roman"/>
          <w:snapToGrid w:val="0"/>
          <w:kern w:val="0"/>
          <w:sz w:val="22"/>
          <w:szCs w:val="22"/>
          <w:lang w:val="en-GB"/>
        </w:rPr>
        <w:t xml:space="preserve"> of a given CC, which may be useful for power limited UEs that are not able to sound the entire bandwidth in a single SC-FDMA symbol. For a case of 3 </w:t>
      </w:r>
      <w:proofErr w:type="spellStart"/>
      <w:r>
        <w:rPr>
          <w:rFonts w:ascii="Times New Roman"/>
          <w:snapToGrid w:val="0"/>
          <w:kern w:val="0"/>
          <w:sz w:val="22"/>
          <w:szCs w:val="22"/>
          <w:lang w:val="en-GB"/>
        </w:rPr>
        <w:t>subbands</w:t>
      </w:r>
      <w:proofErr w:type="spellEnd"/>
      <w:r>
        <w:rPr>
          <w:rFonts w:ascii="Times New Roman"/>
          <w:snapToGrid w:val="0"/>
          <w:kern w:val="0"/>
          <w:sz w:val="22"/>
          <w:szCs w:val="22"/>
          <w:lang w:val="en-GB"/>
        </w:rPr>
        <w:t xml:space="preserve">, for example, the support of SRS </w:t>
      </w:r>
      <w:proofErr w:type="spellStart"/>
      <w:r>
        <w:rPr>
          <w:rFonts w:ascii="Times New Roman"/>
          <w:snapToGrid w:val="0"/>
          <w:kern w:val="0"/>
          <w:sz w:val="22"/>
          <w:szCs w:val="22"/>
          <w:lang w:val="en-GB"/>
        </w:rPr>
        <w:t>subframes</w:t>
      </w:r>
      <w:proofErr w:type="spellEnd"/>
      <w:r>
        <w:rPr>
          <w:rFonts w:ascii="Times New Roman"/>
          <w:snapToGrid w:val="0"/>
          <w:kern w:val="0"/>
          <w:sz w:val="22"/>
          <w:szCs w:val="22"/>
          <w:lang w:val="en-GB"/>
        </w:rPr>
        <w:t xml:space="preserve"> decreases the total interruption time from 9 symbols to 5 symbols (3 symbols for SRS transmission, and 2 symbols for retuning). In Figure 2 we show an example of multiple </w:t>
      </w:r>
      <w:proofErr w:type="spellStart"/>
      <w:r>
        <w:rPr>
          <w:rFonts w:ascii="Times New Roman"/>
          <w:snapToGrid w:val="0"/>
          <w:kern w:val="0"/>
          <w:sz w:val="22"/>
          <w:szCs w:val="22"/>
          <w:lang w:val="en-GB"/>
        </w:rPr>
        <w:t>subband</w:t>
      </w:r>
      <w:proofErr w:type="spellEnd"/>
      <w:r>
        <w:rPr>
          <w:rFonts w:ascii="Times New Roman"/>
          <w:snapToGrid w:val="0"/>
          <w:kern w:val="0"/>
          <w:sz w:val="22"/>
          <w:szCs w:val="22"/>
          <w:lang w:val="en-GB"/>
        </w:rPr>
        <w:t xml:space="preserve"> sounding in a single </w:t>
      </w:r>
      <w:proofErr w:type="spellStart"/>
      <w:r>
        <w:rPr>
          <w:rFonts w:ascii="Times New Roman"/>
          <w:snapToGrid w:val="0"/>
          <w:kern w:val="0"/>
          <w:sz w:val="22"/>
          <w:szCs w:val="22"/>
          <w:lang w:val="en-GB"/>
        </w:rPr>
        <w:t>subframe</w:t>
      </w:r>
      <w:proofErr w:type="spellEnd"/>
      <w:r w:rsidR="00961C79">
        <w:rPr>
          <w:rFonts w:ascii="Times New Roman"/>
          <w:snapToGrid w:val="0"/>
          <w:kern w:val="0"/>
          <w:sz w:val="22"/>
          <w:szCs w:val="22"/>
          <w:lang w:val="en-GB"/>
        </w:rPr>
        <w:t>.</w:t>
      </w:r>
    </w:p>
    <w:p w14:paraId="6035E703" w14:textId="77777777" w:rsidR="00145211" w:rsidRDefault="00512D41" w:rsidP="00145211">
      <w:pPr>
        <w:keepNext/>
        <w:jc w:val="center"/>
      </w:pPr>
      <w:r w:rsidRPr="00145211">
        <w:rPr>
          <w:rFonts w:ascii="Times New Roman"/>
          <w:snapToGrid w:val="0"/>
          <w:kern w:val="0"/>
          <w:sz w:val="22"/>
          <w:szCs w:val="22"/>
        </w:rPr>
        <w:object w:dxaOrig="6699" w:dyaOrig="5041" w14:anchorId="6A2A4F69">
          <v:shape id="_x0000_i1032" type="#_x0000_t75" style="width:251.15pt;height:188.95pt" o:ole="">
            <v:imagedata r:id="rId27" o:title=""/>
          </v:shape>
          <o:OLEObject Type="Embed" ProgID="Visio.Drawing.11" ShapeID="_x0000_i1032" DrawAspect="Content" ObjectID="_1524675763" r:id="rId28"/>
        </w:object>
      </w:r>
    </w:p>
    <w:p w14:paraId="6F3EF8A3" w14:textId="4B1B9595" w:rsidR="00145211" w:rsidRDefault="00145211" w:rsidP="00145211">
      <w:pPr>
        <w:pStyle w:val="Caption"/>
        <w:jc w:val="center"/>
        <w:rPr>
          <w:snapToGrid w:val="0"/>
          <w:sz w:val="22"/>
          <w:szCs w:val="22"/>
        </w:rPr>
      </w:pPr>
      <w:r>
        <w:t xml:space="preserve">Figure </w:t>
      </w:r>
      <w:r>
        <w:fldChar w:fldCharType="begin"/>
      </w:r>
      <w:r>
        <w:instrText xml:space="preserve"> SEQ Figure \* ARABIC </w:instrText>
      </w:r>
      <w:r>
        <w:fldChar w:fldCharType="separate"/>
      </w:r>
      <w:r>
        <w:rPr>
          <w:noProof/>
        </w:rPr>
        <w:t>2</w:t>
      </w:r>
      <w:r>
        <w:fldChar w:fldCharType="end"/>
      </w:r>
      <w:r>
        <w:t xml:space="preserve"> Multiple SRS transmission over the same CC in different </w:t>
      </w:r>
      <w:proofErr w:type="spellStart"/>
      <w:r>
        <w:t>subbands</w:t>
      </w:r>
      <w:proofErr w:type="spellEnd"/>
      <w:r>
        <w:t xml:space="preserve">. </w:t>
      </w:r>
      <w:r w:rsidR="00512D41">
        <w:t xml:space="preserve">In this case there is no switching </w:t>
      </w:r>
      <w:r w:rsidR="00DE2B48">
        <w:t>time required.</w:t>
      </w:r>
    </w:p>
    <w:p w14:paraId="526D2312" w14:textId="77777777" w:rsidR="00145211" w:rsidRPr="00145211" w:rsidRDefault="00145211" w:rsidP="00145211">
      <w:pPr>
        <w:rPr>
          <w:rFonts w:ascii="Times New Roman"/>
          <w:snapToGrid w:val="0"/>
          <w:kern w:val="0"/>
          <w:sz w:val="22"/>
          <w:szCs w:val="22"/>
          <w:lang w:val="en-GB"/>
        </w:rPr>
      </w:pPr>
    </w:p>
    <w:p w14:paraId="4BCDBD46" w14:textId="6C7FAA9A" w:rsidR="00145211" w:rsidRDefault="00145211" w:rsidP="00145211">
      <w:pPr>
        <w:pStyle w:val="LGTdoc1"/>
        <w:spacing w:beforeLines="0" w:before="120" w:after="220" w:afterAutospacing="0"/>
        <w:rPr>
          <w:sz w:val="22"/>
          <w:szCs w:val="22"/>
        </w:rPr>
      </w:pPr>
      <w:r w:rsidRPr="002C3E80">
        <w:rPr>
          <w:sz w:val="22"/>
          <w:szCs w:val="22"/>
          <w:u w:val="single"/>
        </w:rPr>
        <w:t xml:space="preserve">Proposal </w:t>
      </w:r>
      <w:r w:rsidR="00512D41">
        <w:rPr>
          <w:sz w:val="22"/>
          <w:szCs w:val="22"/>
          <w:u w:val="single"/>
        </w:rPr>
        <w:t>5</w:t>
      </w:r>
      <w:r w:rsidRPr="002C3E80">
        <w:rPr>
          <w:sz w:val="22"/>
          <w:szCs w:val="22"/>
          <w:u w:val="single"/>
        </w:rPr>
        <w:t>:</w:t>
      </w:r>
      <w:r>
        <w:rPr>
          <w:sz w:val="22"/>
          <w:szCs w:val="22"/>
        </w:rPr>
        <w:t xml:space="preserve"> Consider the introduction of SRS </w:t>
      </w:r>
      <w:proofErr w:type="spellStart"/>
      <w:r>
        <w:rPr>
          <w:sz w:val="22"/>
          <w:szCs w:val="22"/>
        </w:rPr>
        <w:t>subframes</w:t>
      </w:r>
      <w:proofErr w:type="spellEnd"/>
      <w:r>
        <w:rPr>
          <w:sz w:val="22"/>
          <w:szCs w:val="22"/>
        </w:rPr>
        <w:t xml:space="preserve"> to support transmission of multiple S</w:t>
      </w:r>
      <w:r w:rsidR="00961C79">
        <w:rPr>
          <w:sz w:val="22"/>
          <w:szCs w:val="22"/>
        </w:rPr>
        <w:t xml:space="preserve">RS in a regular uplink </w:t>
      </w:r>
      <w:proofErr w:type="spellStart"/>
      <w:r w:rsidR="00961C79">
        <w:rPr>
          <w:sz w:val="22"/>
          <w:szCs w:val="22"/>
        </w:rPr>
        <w:t>subframe</w:t>
      </w:r>
      <w:proofErr w:type="spellEnd"/>
      <w:r>
        <w:rPr>
          <w:sz w:val="22"/>
          <w:szCs w:val="22"/>
        </w:rPr>
        <w:t>.</w:t>
      </w:r>
    </w:p>
    <w:p w14:paraId="1F383ECB" w14:textId="77777777" w:rsidR="00145211" w:rsidRDefault="00145211" w:rsidP="00597774">
      <w:pPr>
        <w:pStyle w:val="LGTdoc1"/>
        <w:spacing w:beforeLines="0" w:before="120" w:after="220" w:afterAutospacing="0"/>
        <w:rPr>
          <w:b w:val="0"/>
          <w:sz w:val="22"/>
          <w:szCs w:val="22"/>
        </w:rPr>
      </w:pPr>
    </w:p>
    <w:p w14:paraId="2250CC6F" w14:textId="3D6AE276" w:rsidR="00512D41" w:rsidRPr="00722C91" w:rsidRDefault="00722C91" w:rsidP="00512D41">
      <w:pPr>
        <w:pStyle w:val="LGTdoc1"/>
        <w:numPr>
          <w:ilvl w:val="0"/>
          <w:numId w:val="3"/>
        </w:numPr>
        <w:spacing w:beforeLines="0" w:before="120" w:after="220" w:afterAutospacing="0"/>
        <w:ind w:left="432" w:hanging="432"/>
        <w:rPr>
          <w:color w:val="000000"/>
        </w:rPr>
      </w:pPr>
      <w:r>
        <w:rPr>
          <w:color w:val="000000"/>
        </w:rPr>
        <w:t>Potentially Multiple SRS Switching Times</w:t>
      </w:r>
    </w:p>
    <w:p w14:paraId="3872B028" w14:textId="7C40483A" w:rsidR="00512D41" w:rsidRDefault="00512D41" w:rsidP="00512D41">
      <w:pPr>
        <w:pStyle w:val="LGTdoc1"/>
        <w:spacing w:beforeLines="0" w:before="120" w:after="220" w:afterAutospacing="0"/>
        <w:rPr>
          <w:b w:val="0"/>
          <w:sz w:val="22"/>
          <w:szCs w:val="22"/>
        </w:rPr>
      </w:pPr>
      <w:r>
        <w:rPr>
          <w:b w:val="0"/>
          <w:sz w:val="22"/>
          <w:szCs w:val="22"/>
        </w:rPr>
        <w:t>In RAN1#84b a liaison statement was sent to RAN4 regarding switching time between CC to support SRS switching [2]. Due to different UE capability and implementation details, it may be foreseen that different switching times may apply depending on the CA configuration, UE capability and source-destination carriers. In such a case, RAN1 should support at least a subset of the switching times. For some large values (e.g. in the order of several milliseconds), the usefulness of SRS switching may be reduced.</w:t>
      </w:r>
    </w:p>
    <w:p w14:paraId="3B65E38D" w14:textId="24B38518" w:rsidR="00512D41" w:rsidRDefault="00512D41" w:rsidP="00512D41">
      <w:pPr>
        <w:pStyle w:val="LGTdoc1"/>
        <w:spacing w:beforeLines="0" w:before="120" w:after="220" w:afterAutospacing="0"/>
        <w:rPr>
          <w:sz w:val="22"/>
          <w:szCs w:val="22"/>
        </w:rPr>
      </w:pPr>
      <w:r w:rsidRPr="00512D41">
        <w:rPr>
          <w:sz w:val="22"/>
          <w:szCs w:val="22"/>
          <w:u w:val="single"/>
        </w:rPr>
        <w:t>Observation 2:</w:t>
      </w:r>
      <w:r>
        <w:rPr>
          <w:sz w:val="22"/>
          <w:szCs w:val="22"/>
        </w:rPr>
        <w:t xml:space="preserve"> RAN1 may need to consider different switching values in the design.</w:t>
      </w:r>
    </w:p>
    <w:p w14:paraId="491FC305" w14:textId="77777777" w:rsidR="00512D41" w:rsidRPr="00512D41" w:rsidRDefault="00512D41" w:rsidP="00512D41">
      <w:pPr>
        <w:pStyle w:val="LGTdoc1"/>
        <w:spacing w:beforeLines="0" w:before="120" w:after="220" w:afterAutospacing="0"/>
        <w:rPr>
          <w:sz w:val="22"/>
          <w:szCs w:val="22"/>
        </w:rPr>
      </w:pPr>
    </w:p>
    <w:p w14:paraId="0936AAC0" w14:textId="70AC5995" w:rsidR="00512D41" w:rsidRDefault="00512D41" w:rsidP="00512D41">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Power headroom report</w:t>
      </w:r>
    </w:p>
    <w:p w14:paraId="22DCBC75" w14:textId="283E7548" w:rsidR="00512D41" w:rsidRDefault="00512D41" w:rsidP="00512D41">
      <w:pPr>
        <w:pStyle w:val="LGTdoc1"/>
        <w:spacing w:beforeLines="0" w:before="120" w:after="220" w:afterAutospacing="0"/>
        <w:rPr>
          <w:b w:val="0"/>
          <w:sz w:val="22"/>
          <w:szCs w:val="22"/>
        </w:rPr>
      </w:pPr>
      <w:r>
        <w:rPr>
          <w:b w:val="0"/>
          <w:sz w:val="22"/>
          <w:szCs w:val="22"/>
        </w:rPr>
        <w:t xml:space="preserve">Similar to other CA configurations, PHR should be supported for SRS CCs. This could be exploited by the </w:t>
      </w:r>
      <w:proofErr w:type="spellStart"/>
      <w:r>
        <w:rPr>
          <w:b w:val="0"/>
          <w:sz w:val="22"/>
          <w:szCs w:val="22"/>
        </w:rPr>
        <w:t>eNB</w:t>
      </w:r>
      <w:proofErr w:type="spellEnd"/>
      <w:r>
        <w:rPr>
          <w:b w:val="0"/>
          <w:sz w:val="22"/>
          <w:szCs w:val="22"/>
        </w:rPr>
        <w:t xml:space="preserve"> when scheduling in multiple CC simultaneously. If the </w:t>
      </w:r>
      <w:proofErr w:type="spellStart"/>
      <w:r>
        <w:rPr>
          <w:b w:val="0"/>
          <w:sz w:val="22"/>
          <w:szCs w:val="22"/>
        </w:rPr>
        <w:t>eNB</w:t>
      </w:r>
      <w:proofErr w:type="spellEnd"/>
      <w:r>
        <w:rPr>
          <w:b w:val="0"/>
          <w:sz w:val="22"/>
          <w:szCs w:val="22"/>
        </w:rPr>
        <w:t xml:space="preserve"> is not aware of the power headroom, then the UE may drop transmission due to power limitation.</w:t>
      </w:r>
    </w:p>
    <w:p w14:paraId="60A5B679" w14:textId="5F49AB53" w:rsidR="00512D41" w:rsidRDefault="00512D41" w:rsidP="00512D41">
      <w:pPr>
        <w:pStyle w:val="LGTdoc1"/>
        <w:spacing w:beforeLines="0" w:before="120" w:after="220" w:afterAutospacing="0"/>
        <w:rPr>
          <w:sz w:val="22"/>
          <w:szCs w:val="22"/>
        </w:rPr>
      </w:pPr>
      <w:r w:rsidRPr="002C3E80">
        <w:rPr>
          <w:sz w:val="22"/>
          <w:szCs w:val="22"/>
          <w:u w:val="single"/>
        </w:rPr>
        <w:t xml:space="preserve">Proposal </w:t>
      </w:r>
      <w:r>
        <w:rPr>
          <w:sz w:val="22"/>
          <w:szCs w:val="22"/>
          <w:u w:val="single"/>
        </w:rPr>
        <w:t>6</w:t>
      </w:r>
      <w:r w:rsidRPr="002C3E80">
        <w:rPr>
          <w:sz w:val="22"/>
          <w:szCs w:val="22"/>
          <w:u w:val="single"/>
        </w:rPr>
        <w:t>:</w:t>
      </w:r>
      <w:r>
        <w:rPr>
          <w:sz w:val="22"/>
          <w:szCs w:val="22"/>
        </w:rPr>
        <w:t xml:space="preserve"> Support PHR including the SRS CC.</w:t>
      </w:r>
    </w:p>
    <w:p w14:paraId="0CA0922D" w14:textId="77777777" w:rsidR="00512D41" w:rsidRPr="00512D41" w:rsidRDefault="00512D41" w:rsidP="00512D41">
      <w:pPr>
        <w:pStyle w:val="LGTdoc1"/>
        <w:spacing w:beforeLines="0" w:before="120" w:after="220" w:afterAutospacing="0"/>
        <w:rPr>
          <w:rFonts w:ascii="Arial" w:hAnsi="Arial" w:cs="Arial"/>
        </w:rPr>
      </w:pPr>
    </w:p>
    <w:p w14:paraId="18CFA098" w14:textId="77777777" w:rsidR="00145211" w:rsidRPr="00145211" w:rsidRDefault="00145211" w:rsidP="00597774">
      <w:pPr>
        <w:pStyle w:val="LGTdoc1"/>
        <w:spacing w:beforeLines="0" w:before="120" w:after="220" w:afterAutospacing="0"/>
        <w:rPr>
          <w:b w:val="0"/>
          <w:sz w:val="22"/>
          <w:szCs w:val="22"/>
        </w:rPr>
      </w:pPr>
    </w:p>
    <w:p w14:paraId="1A98B8A8" w14:textId="51E84F8B" w:rsidR="004E6768" w:rsidRDefault="00E95DA2" w:rsidP="007A6932">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Summary</w:t>
      </w:r>
    </w:p>
    <w:p w14:paraId="57CB2E8F" w14:textId="77777777" w:rsidR="00DE2B48" w:rsidRDefault="00DE2B48" w:rsidP="00512D41">
      <w:pPr>
        <w:pStyle w:val="LGTdoc1"/>
        <w:spacing w:beforeLines="0" w:before="120" w:after="220" w:afterAutospacing="0"/>
        <w:rPr>
          <w:sz w:val="22"/>
          <w:szCs w:val="22"/>
          <w:u w:val="single"/>
        </w:rPr>
      </w:pPr>
    </w:p>
    <w:p w14:paraId="28C60DF9" w14:textId="77777777" w:rsidR="00DE2B48" w:rsidRDefault="00DE2B48" w:rsidP="00DE2B48">
      <w:pPr>
        <w:pStyle w:val="LGTdoc1"/>
        <w:spacing w:beforeLines="0" w:before="120" w:after="220" w:afterAutospacing="0"/>
        <w:rPr>
          <w:sz w:val="22"/>
          <w:szCs w:val="22"/>
        </w:rPr>
      </w:pPr>
      <w:r w:rsidRPr="002C3E80">
        <w:rPr>
          <w:sz w:val="22"/>
          <w:szCs w:val="22"/>
          <w:u w:val="single"/>
        </w:rPr>
        <w:t>Observation 1:</w:t>
      </w:r>
      <w:r>
        <w:rPr>
          <w:sz w:val="22"/>
          <w:szCs w:val="22"/>
        </w:rPr>
        <w:t xml:space="preserve"> For SRS transmission over a first CC belonging to the same TAG as a second CC, the initial TA can be obtained from the second CC. Initial transmit power should be obtained separately.</w:t>
      </w:r>
    </w:p>
    <w:p w14:paraId="5112E41F" w14:textId="77777777" w:rsidR="00DE2B48" w:rsidRDefault="00DE2B48" w:rsidP="00DE2B48">
      <w:pPr>
        <w:pStyle w:val="LGTdoc1"/>
        <w:spacing w:beforeLines="0" w:before="120" w:after="220" w:afterAutospacing="0"/>
        <w:rPr>
          <w:sz w:val="22"/>
          <w:szCs w:val="22"/>
        </w:rPr>
      </w:pPr>
      <w:r>
        <w:rPr>
          <w:sz w:val="22"/>
          <w:szCs w:val="22"/>
          <w:u w:val="single"/>
        </w:rPr>
        <w:t xml:space="preserve">Proposal </w:t>
      </w:r>
      <w:r w:rsidRPr="002C3E80">
        <w:rPr>
          <w:sz w:val="22"/>
          <w:szCs w:val="22"/>
          <w:u w:val="single"/>
        </w:rPr>
        <w:t>1:</w:t>
      </w:r>
      <w:r>
        <w:rPr>
          <w:sz w:val="22"/>
          <w:szCs w:val="22"/>
        </w:rPr>
        <w:t xml:space="preserve"> SRS switching can be performed regardless of whether SRS CC and PUSCH CC are in the same TAG or different TAGs.</w:t>
      </w:r>
    </w:p>
    <w:p w14:paraId="3E32AC58" w14:textId="77777777" w:rsidR="00DE2B48" w:rsidRPr="002C3E80" w:rsidRDefault="00DE2B48" w:rsidP="00DE2B48">
      <w:pPr>
        <w:pStyle w:val="LGTdoc1"/>
        <w:spacing w:beforeLines="0" w:before="120" w:after="220" w:afterAutospacing="0"/>
        <w:rPr>
          <w:sz w:val="22"/>
          <w:szCs w:val="22"/>
        </w:rPr>
      </w:pPr>
      <w:r w:rsidRPr="002C3E80">
        <w:rPr>
          <w:sz w:val="22"/>
          <w:szCs w:val="22"/>
          <w:u w:val="single"/>
        </w:rPr>
        <w:lastRenderedPageBreak/>
        <w:t xml:space="preserve">Proposal </w:t>
      </w:r>
      <w:r>
        <w:rPr>
          <w:sz w:val="22"/>
          <w:szCs w:val="22"/>
          <w:u w:val="single"/>
        </w:rPr>
        <w:t>2</w:t>
      </w:r>
      <w:r w:rsidRPr="002C3E80">
        <w:rPr>
          <w:sz w:val="22"/>
          <w:szCs w:val="22"/>
          <w:u w:val="single"/>
        </w:rPr>
        <w:t>:</w:t>
      </w:r>
      <w:r>
        <w:rPr>
          <w:sz w:val="22"/>
          <w:szCs w:val="22"/>
        </w:rPr>
        <w:t xml:space="preserve"> Support non-contention based PRACH transmission over SRS </w:t>
      </w:r>
      <w:proofErr w:type="spellStart"/>
      <w:r>
        <w:rPr>
          <w:sz w:val="22"/>
          <w:szCs w:val="22"/>
        </w:rPr>
        <w:t>SCell</w:t>
      </w:r>
      <w:proofErr w:type="spellEnd"/>
      <w:r>
        <w:rPr>
          <w:sz w:val="22"/>
          <w:szCs w:val="22"/>
        </w:rPr>
        <w:t xml:space="preserve"> to obtain initial timing and transmit power values.</w:t>
      </w:r>
    </w:p>
    <w:p w14:paraId="5FB93C5D" w14:textId="77777777" w:rsidR="00DE2B48" w:rsidRDefault="00DE2B48" w:rsidP="00DE2B48">
      <w:pPr>
        <w:pStyle w:val="LGTdoc1"/>
        <w:spacing w:beforeLines="0" w:before="120" w:after="220" w:afterAutospacing="0"/>
        <w:rPr>
          <w:sz w:val="22"/>
          <w:szCs w:val="22"/>
        </w:rPr>
      </w:pPr>
      <w:r w:rsidRPr="006E3DE5">
        <w:rPr>
          <w:sz w:val="22"/>
          <w:szCs w:val="22"/>
          <w:u w:val="single"/>
        </w:rPr>
        <w:t xml:space="preserve">Proposal </w:t>
      </w:r>
      <w:r>
        <w:rPr>
          <w:sz w:val="22"/>
          <w:szCs w:val="22"/>
          <w:u w:val="single"/>
        </w:rPr>
        <w:t>3</w:t>
      </w:r>
      <w:r w:rsidRPr="006E3DE5">
        <w:rPr>
          <w:sz w:val="22"/>
          <w:szCs w:val="22"/>
          <w:u w:val="single"/>
        </w:rPr>
        <w:t>:</w:t>
      </w:r>
      <w:r>
        <w:rPr>
          <w:sz w:val="22"/>
          <w:szCs w:val="22"/>
          <w:u w:val="single"/>
        </w:rPr>
        <w:t xml:space="preserve"> </w:t>
      </w:r>
      <w:r>
        <w:rPr>
          <w:sz w:val="22"/>
          <w:szCs w:val="22"/>
        </w:rPr>
        <w:t>Support power control of SRS for CC without PUSCH. The power control can be provided as follows:</w:t>
      </w:r>
    </w:p>
    <w:p w14:paraId="604DB4CB" w14:textId="77777777" w:rsidR="00DE2B48" w:rsidRPr="006E3DE5" w:rsidRDefault="00DE2B48" w:rsidP="00DE2B48">
      <w:pPr>
        <w:pStyle w:val="LGTdoc1"/>
        <w:numPr>
          <w:ilvl w:val="0"/>
          <w:numId w:val="47"/>
        </w:numPr>
        <w:spacing w:beforeLines="0" w:before="120" w:after="220" w:afterAutospacing="0"/>
        <w:rPr>
          <w:rFonts w:ascii="Arial" w:hAnsi="Arial" w:cs="Arial"/>
          <w:lang w:val="en-US"/>
        </w:rPr>
      </w:pPr>
      <w:r>
        <w:rPr>
          <w:sz w:val="22"/>
          <w:szCs w:val="22"/>
        </w:rPr>
        <w:t>For periodic SRS, via DCI 3/3A</w:t>
      </w:r>
    </w:p>
    <w:p w14:paraId="201DB700" w14:textId="77777777" w:rsidR="00DE2B48" w:rsidRDefault="00DE2B48" w:rsidP="00DE2B48">
      <w:pPr>
        <w:pStyle w:val="LGTdoc1"/>
        <w:numPr>
          <w:ilvl w:val="0"/>
          <w:numId w:val="47"/>
        </w:numPr>
        <w:spacing w:beforeLines="0" w:before="120" w:after="220" w:afterAutospacing="0"/>
        <w:rPr>
          <w:rFonts w:ascii="Arial" w:hAnsi="Arial" w:cs="Arial"/>
          <w:lang w:val="en-US"/>
        </w:rPr>
      </w:pPr>
      <w:r>
        <w:rPr>
          <w:sz w:val="22"/>
          <w:szCs w:val="22"/>
        </w:rPr>
        <w:t>For aperiodic SRS, via DCI 3/3A or field in the trigger DCI</w:t>
      </w:r>
      <w:r>
        <w:rPr>
          <w:rFonts w:ascii="Arial" w:hAnsi="Arial" w:cs="Arial"/>
          <w:lang w:val="en-US"/>
        </w:rPr>
        <w:t xml:space="preserve"> </w:t>
      </w:r>
    </w:p>
    <w:p w14:paraId="03787C14" w14:textId="77777777" w:rsidR="00DE2B48" w:rsidRDefault="00DE2B48" w:rsidP="00DE2B48">
      <w:pPr>
        <w:pStyle w:val="LGTdoc1"/>
        <w:spacing w:beforeLines="0" w:before="120" w:after="220" w:afterAutospacing="0"/>
        <w:rPr>
          <w:sz w:val="22"/>
          <w:szCs w:val="22"/>
        </w:rPr>
      </w:pPr>
      <w:r w:rsidRPr="006E3DE5">
        <w:rPr>
          <w:sz w:val="22"/>
          <w:szCs w:val="22"/>
          <w:u w:val="single"/>
        </w:rPr>
        <w:t>Proposal</w:t>
      </w:r>
      <w:r>
        <w:rPr>
          <w:sz w:val="22"/>
          <w:szCs w:val="22"/>
          <w:u w:val="single"/>
        </w:rPr>
        <w:t xml:space="preserve"> 4: </w:t>
      </w:r>
      <w:r>
        <w:rPr>
          <w:sz w:val="22"/>
          <w:szCs w:val="22"/>
        </w:rPr>
        <w:t>Timing advance commands are supported for SRS-only carriers, similarly to TAG support for CC with PUSCH.</w:t>
      </w:r>
    </w:p>
    <w:p w14:paraId="77FDB335" w14:textId="77777777" w:rsidR="00DE2B48" w:rsidRDefault="00DE2B48" w:rsidP="00DE2B48">
      <w:pPr>
        <w:pStyle w:val="LGTdoc1"/>
        <w:spacing w:beforeLines="0" w:before="120" w:after="220" w:afterAutospacing="0"/>
        <w:rPr>
          <w:sz w:val="22"/>
          <w:szCs w:val="22"/>
        </w:rPr>
      </w:pPr>
      <w:r w:rsidRPr="002C3E80">
        <w:rPr>
          <w:sz w:val="22"/>
          <w:szCs w:val="22"/>
          <w:u w:val="single"/>
        </w:rPr>
        <w:t xml:space="preserve">Proposal </w:t>
      </w:r>
      <w:r>
        <w:rPr>
          <w:sz w:val="22"/>
          <w:szCs w:val="22"/>
          <w:u w:val="single"/>
        </w:rPr>
        <w:t>5</w:t>
      </w:r>
      <w:r w:rsidRPr="002C3E80">
        <w:rPr>
          <w:sz w:val="22"/>
          <w:szCs w:val="22"/>
          <w:u w:val="single"/>
        </w:rPr>
        <w:t>:</w:t>
      </w:r>
      <w:r>
        <w:rPr>
          <w:sz w:val="22"/>
          <w:szCs w:val="22"/>
        </w:rPr>
        <w:t xml:space="preserve"> Consider the introduction of SRS </w:t>
      </w:r>
      <w:proofErr w:type="spellStart"/>
      <w:r>
        <w:rPr>
          <w:sz w:val="22"/>
          <w:szCs w:val="22"/>
        </w:rPr>
        <w:t>subframes</w:t>
      </w:r>
      <w:proofErr w:type="spellEnd"/>
      <w:r>
        <w:rPr>
          <w:sz w:val="22"/>
          <w:szCs w:val="22"/>
        </w:rPr>
        <w:t xml:space="preserve"> to support transmission of multiple SRS in a regular uplink </w:t>
      </w:r>
      <w:proofErr w:type="spellStart"/>
      <w:r>
        <w:rPr>
          <w:sz w:val="22"/>
          <w:szCs w:val="22"/>
        </w:rPr>
        <w:t>subframe</w:t>
      </w:r>
      <w:proofErr w:type="spellEnd"/>
      <w:r>
        <w:rPr>
          <w:sz w:val="22"/>
          <w:szCs w:val="22"/>
        </w:rPr>
        <w:t>.</w:t>
      </w:r>
    </w:p>
    <w:p w14:paraId="1AF2D39F" w14:textId="77777777" w:rsidR="00DE2B48" w:rsidRDefault="00DE2B48" w:rsidP="00DE2B48">
      <w:pPr>
        <w:pStyle w:val="LGTdoc1"/>
        <w:spacing w:beforeLines="0" w:before="120" w:after="220" w:afterAutospacing="0"/>
        <w:rPr>
          <w:sz w:val="22"/>
          <w:szCs w:val="22"/>
        </w:rPr>
      </w:pPr>
      <w:r w:rsidRPr="00512D41">
        <w:rPr>
          <w:sz w:val="22"/>
          <w:szCs w:val="22"/>
          <w:u w:val="single"/>
        </w:rPr>
        <w:t>Observation 2:</w:t>
      </w:r>
      <w:r>
        <w:rPr>
          <w:sz w:val="22"/>
          <w:szCs w:val="22"/>
        </w:rPr>
        <w:t xml:space="preserve"> RAN1 may need to consider different switching values in the design.</w:t>
      </w:r>
    </w:p>
    <w:p w14:paraId="3E2A1376" w14:textId="77777777" w:rsidR="00DE2B48" w:rsidRDefault="00DE2B48" w:rsidP="00DE2B48">
      <w:pPr>
        <w:pStyle w:val="LGTdoc1"/>
        <w:spacing w:beforeLines="0" w:before="120" w:after="220" w:afterAutospacing="0"/>
        <w:rPr>
          <w:sz w:val="22"/>
          <w:szCs w:val="22"/>
        </w:rPr>
      </w:pPr>
      <w:r w:rsidRPr="002C3E80">
        <w:rPr>
          <w:sz w:val="22"/>
          <w:szCs w:val="22"/>
          <w:u w:val="single"/>
        </w:rPr>
        <w:t xml:space="preserve">Proposal </w:t>
      </w:r>
      <w:r>
        <w:rPr>
          <w:sz w:val="22"/>
          <w:szCs w:val="22"/>
          <w:u w:val="single"/>
        </w:rPr>
        <w:t>6</w:t>
      </w:r>
      <w:r w:rsidRPr="002C3E80">
        <w:rPr>
          <w:sz w:val="22"/>
          <w:szCs w:val="22"/>
          <w:u w:val="single"/>
        </w:rPr>
        <w:t>:</w:t>
      </w:r>
      <w:r>
        <w:rPr>
          <w:sz w:val="22"/>
          <w:szCs w:val="22"/>
        </w:rPr>
        <w:t xml:space="preserve"> Support PHR including the SRS CC.</w:t>
      </w:r>
    </w:p>
    <w:p w14:paraId="72F6585F" w14:textId="77777777" w:rsidR="00512D41" w:rsidRPr="00DE2B48" w:rsidRDefault="00512D41" w:rsidP="00C412BA">
      <w:pPr>
        <w:pStyle w:val="LGTdoc1"/>
        <w:spacing w:beforeLines="0" w:before="120" w:after="220" w:afterAutospacing="0"/>
        <w:rPr>
          <w:rFonts w:ascii="Arial" w:hAnsi="Arial" w:cs="Arial"/>
        </w:rPr>
      </w:pPr>
    </w:p>
    <w:p w14:paraId="47A6B625" w14:textId="77777777" w:rsidR="00E77804" w:rsidRDefault="00E77804" w:rsidP="00E77804">
      <w:pPr>
        <w:pStyle w:val="LGTdoc1"/>
        <w:spacing w:beforeLines="0" w:before="120" w:after="220" w:afterAutospacing="0"/>
        <w:rPr>
          <w:rFonts w:ascii="Arial" w:hAnsi="Arial" w:cs="Arial"/>
          <w:lang w:val="en-US"/>
        </w:rPr>
      </w:pPr>
      <w:r>
        <w:rPr>
          <w:rFonts w:ascii="Arial" w:hAnsi="Arial" w:cs="Arial"/>
          <w:lang w:val="en-US"/>
        </w:rPr>
        <w:t>References</w:t>
      </w:r>
    </w:p>
    <w:p w14:paraId="095C66B5" w14:textId="545231A4" w:rsidR="00111B9A" w:rsidRDefault="00E77804" w:rsidP="00E77804">
      <w:pPr>
        <w:pStyle w:val="LGTdoc1"/>
        <w:spacing w:beforeLines="0" w:before="120" w:after="220" w:afterAutospacing="0"/>
        <w:rPr>
          <w:b w:val="0"/>
          <w:sz w:val="22"/>
          <w:szCs w:val="22"/>
        </w:rPr>
      </w:pPr>
      <w:r w:rsidRPr="004E6768">
        <w:rPr>
          <w:b w:val="0"/>
          <w:sz w:val="22"/>
          <w:szCs w:val="22"/>
        </w:rPr>
        <w:t>[1]</w:t>
      </w:r>
      <w:r>
        <w:rPr>
          <w:b w:val="0"/>
          <w:sz w:val="22"/>
          <w:szCs w:val="22"/>
        </w:rPr>
        <w:t xml:space="preserve"> </w:t>
      </w:r>
      <w:r w:rsidR="003775E1" w:rsidRPr="003775E1">
        <w:rPr>
          <w:b w:val="0"/>
          <w:sz w:val="22"/>
          <w:szCs w:val="22"/>
        </w:rPr>
        <w:t>RP-16067</w:t>
      </w:r>
      <w:r w:rsidR="00C412BA">
        <w:rPr>
          <w:b w:val="0"/>
          <w:sz w:val="22"/>
          <w:szCs w:val="22"/>
        </w:rPr>
        <w:t>6</w:t>
      </w:r>
      <w:r>
        <w:rPr>
          <w:b w:val="0"/>
          <w:sz w:val="22"/>
          <w:szCs w:val="22"/>
        </w:rPr>
        <w:t>, “</w:t>
      </w:r>
      <w:r w:rsidR="00C412BA">
        <w:rPr>
          <w:b w:val="0"/>
          <w:sz w:val="22"/>
          <w:szCs w:val="22"/>
        </w:rPr>
        <w:t>New WI proposal</w:t>
      </w:r>
      <w:r w:rsidR="003775E1">
        <w:rPr>
          <w:b w:val="0"/>
          <w:sz w:val="22"/>
          <w:szCs w:val="22"/>
        </w:rPr>
        <w:t xml:space="preserve">: </w:t>
      </w:r>
      <w:r w:rsidR="00C412BA">
        <w:rPr>
          <w:b w:val="0"/>
          <w:sz w:val="22"/>
          <w:szCs w:val="22"/>
        </w:rPr>
        <w:t>SRS Carrier Based Switching for LTE</w:t>
      </w:r>
      <w:r>
        <w:rPr>
          <w:b w:val="0"/>
          <w:sz w:val="22"/>
          <w:szCs w:val="22"/>
        </w:rPr>
        <w:t>“,</w:t>
      </w:r>
      <w:r w:rsidR="00C412BA">
        <w:rPr>
          <w:b w:val="0"/>
          <w:sz w:val="22"/>
          <w:szCs w:val="22"/>
        </w:rPr>
        <w:t xml:space="preserve"> Huawei, </w:t>
      </w:r>
      <w:proofErr w:type="spellStart"/>
      <w:r w:rsidR="00C412BA">
        <w:rPr>
          <w:b w:val="0"/>
          <w:sz w:val="22"/>
          <w:szCs w:val="22"/>
        </w:rPr>
        <w:t>HiSilicon</w:t>
      </w:r>
      <w:proofErr w:type="spellEnd"/>
      <w:r w:rsidR="00C412BA">
        <w:rPr>
          <w:b w:val="0"/>
          <w:sz w:val="22"/>
          <w:szCs w:val="22"/>
        </w:rPr>
        <w:t>;</w:t>
      </w:r>
      <w:r w:rsidR="00502895">
        <w:rPr>
          <w:b w:val="0"/>
          <w:sz w:val="22"/>
          <w:szCs w:val="22"/>
        </w:rPr>
        <w:t xml:space="preserve"> </w:t>
      </w:r>
      <w:r w:rsidR="003775E1" w:rsidRPr="003775E1">
        <w:rPr>
          <w:b w:val="0"/>
          <w:sz w:val="22"/>
          <w:szCs w:val="22"/>
        </w:rPr>
        <w:t>3GPP RAN #71</w:t>
      </w:r>
      <w:r w:rsidR="003775E1">
        <w:rPr>
          <w:b w:val="0"/>
          <w:sz w:val="22"/>
          <w:szCs w:val="22"/>
        </w:rPr>
        <w:t xml:space="preserve">, </w:t>
      </w:r>
      <w:r w:rsidR="003775E1" w:rsidRPr="003775E1">
        <w:rPr>
          <w:b w:val="0"/>
          <w:sz w:val="22"/>
          <w:szCs w:val="22"/>
        </w:rPr>
        <w:t>Goteborg, Sweden, March 2016</w:t>
      </w:r>
    </w:p>
    <w:p w14:paraId="3E70D732" w14:textId="0CC8167D" w:rsidR="00512D41" w:rsidRPr="006674CC" w:rsidRDefault="00512D41" w:rsidP="00E77804">
      <w:pPr>
        <w:pStyle w:val="LGTdoc1"/>
        <w:spacing w:beforeLines="0" w:before="120" w:after="220" w:afterAutospacing="0"/>
        <w:rPr>
          <w:b w:val="0"/>
          <w:sz w:val="22"/>
          <w:szCs w:val="22"/>
        </w:rPr>
      </w:pPr>
      <w:r>
        <w:rPr>
          <w:b w:val="0"/>
          <w:sz w:val="22"/>
          <w:szCs w:val="22"/>
        </w:rPr>
        <w:t xml:space="preserve">[2] </w:t>
      </w:r>
      <w:r w:rsidRPr="00512D41">
        <w:rPr>
          <w:b w:val="0"/>
          <w:sz w:val="22"/>
          <w:szCs w:val="22"/>
        </w:rPr>
        <w:t>R1-163453, “LS on SRS carrier switching interruption time”, RAN WG1, RAN1#84b, Busan, Korea, April 2016</w:t>
      </w:r>
    </w:p>
    <w:sectPr w:rsidR="00512D41" w:rsidRPr="006674CC" w:rsidSect="00B47B85">
      <w:footerReference w:type="even" r:id="rId29"/>
      <w:footerReference w:type="default" r:id="rId30"/>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948119" w14:textId="77777777" w:rsidR="00E1606D" w:rsidRDefault="00E1606D">
      <w:r>
        <w:separator/>
      </w:r>
    </w:p>
  </w:endnote>
  <w:endnote w:type="continuationSeparator" w:id="0">
    <w:p w14:paraId="3291AE65" w14:textId="77777777" w:rsidR="00E1606D" w:rsidRDefault="00E1606D">
      <w:r>
        <w:continuationSeparator/>
      </w:r>
    </w:p>
  </w:endnote>
  <w:endnote w:type="continuationNotice" w:id="1">
    <w:p w14:paraId="2E0A2E69" w14:textId="77777777" w:rsidR="00E1606D" w:rsidRDefault="00E160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odafone Rg">
    <w:altName w:val="Franklin Gothic Medium Cond"/>
    <w:charset w:val="00"/>
    <w:family w:val="swiss"/>
    <w:pitch w:val="variable"/>
    <w:sig w:usb0="00000001" w:usb1="1000204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A45BC">
      <w:rPr>
        <w:rStyle w:val="PageNumber"/>
        <w:noProof/>
      </w:rPr>
      <w:t>2</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769EAF" w14:textId="77777777" w:rsidR="00E1606D" w:rsidRDefault="00E1606D">
      <w:r>
        <w:separator/>
      </w:r>
    </w:p>
  </w:footnote>
  <w:footnote w:type="continuationSeparator" w:id="0">
    <w:p w14:paraId="5C50D290" w14:textId="77777777" w:rsidR="00E1606D" w:rsidRDefault="00E1606D">
      <w:r>
        <w:continuationSeparator/>
      </w:r>
    </w:p>
  </w:footnote>
  <w:footnote w:type="continuationNotice" w:id="1">
    <w:p w14:paraId="6B35F5FF" w14:textId="77777777" w:rsidR="00E1606D" w:rsidRDefault="00E1606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61E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15:restartNumberingAfterBreak="0">
    <w:nsid w:val="05567009"/>
    <w:multiLevelType w:val="hybridMultilevel"/>
    <w:tmpl w:val="93B87D22"/>
    <w:lvl w:ilvl="0" w:tplc="E28A8912">
      <w:start w:val="1"/>
      <w:numFmt w:val="bullet"/>
      <w:lvlText w:val="•"/>
      <w:lvlJc w:val="left"/>
      <w:pPr>
        <w:tabs>
          <w:tab w:val="num" w:pos="720"/>
        </w:tabs>
        <w:ind w:left="720" w:hanging="360"/>
      </w:pPr>
      <w:rPr>
        <w:rFonts w:ascii="Arial" w:hAnsi="Arial" w:cs="Times New Roman" w:hint="default"/>
      </w:rPr>
    </w:lvl>
    <w:lvl w:ilvl="1" w:tplc="0D92F9BE">
      <w:start w:val="3010"/>
      <w:numFmt w:val="bullet"/>
      <w:lvlText w:val="•"/>
      <w:lvlJc w:val="left"/>
      <w:pPr>
        <w:tabs>
          <w:tab w:val="num" w:pos="1440"/>
        </w:tabs>
        <w:ind w:left="1440" w:hanging="360"/>
      </w:pPr>
      <w:rPr>
        <w:rFonts w:ascii="Arial" w:hAnsi="Arial" w:cs="Times New Roman" w:hint="default"/>
      </w:rPr>
    </w:lvl>
    <w:lvl w:ilvl="2" w:tplc="91DC2EF8">
      <w:start w:val="1"/>
      <w:numFmt w:val="bullet"/>
      <w:lvlText w:val="•"/>
      <w:lvlJc w:val="left"/>
      <w:pPr>
        <w:tabs>
          <w:tab w:val="num" w:pos="2160"/>
        </w:tabs>
        <w:ind w:left="2160" w:hanging="360"/>
      </w:pPr>
      <w:rPr>
        <w:rFonts w:ascii="Arial" w:hAnsi="Arial" w:cs="Times New Roman" w:hint="default"/>
      </w:rPr>
    </w:lvl>
    <w:lvl w:ilvl="3" w:tplc="3476F7F0">
      <w:start w:val="1"/>
      <w:numFmt w:val="bullet"/>
      <w:lvlText w:val="•"/>
      <w:lvlJc w:val="left"/>
      <w:pPr>
        <w:tabs>
          <w:tab w:val="num" w:pos="2880"/>
        </w:tabs>
        <w:ind w:left="2880" w:hanging="360"/>
      </w:pPr>
      <w:rPr>
        <w:rFonts w:ascii="Arial" w:hAnsi="Arial" w:cs="Times New Roman" w:hint="default"/>
      </w:rPr>
    </w:lvl>
    <w:lvl w:ilvl="4" w:tplc="4274EA82">
      <w:start w:val="1"/>
      <w:numFmt w:val="bullet"/>
      <w:lvlText w:val="•"/>
      <w:lvlJc w:val="left"/>
      <w:pPr>
        <w:tabs>
          <w:tab w:val="num" w:pos="3600"/>
        </w:tabs>
        <w:ind w:left="3600" w:hanging="360"/>
      </w:pPr>
      <w:rPr>
        <w:rFonts w:ascii="Arial" w:hAnsi="Arial" w:cs="Times New Roman" w:hint="default"/>
      </w:rPr>
    </w:lvl>
    <w:lvl w:ilvl="5" w:tplc="3CAADA14">
      <w:start w:val="1"/>
      <w:numFmt w:val="bullet"/>
      <w:lvlText w:val="•"/>
      <w:lvlJc w:val="left"/>
      <w:pPr>
        <w:tabs>
          <w:tab w:val="num" w:pos="4320"/>
        </w:tabs>
        <w:ind w:left="4320" w:hanging="360"/>
      </w:pPr>
      <w:rPr>
        <w:rFonts w:ascii="Arial" w:hAnsi="Arial" w:cs="Times New Roman" w:hint="default"/>
      </w:rPr>
    </w:lvl>
    <w:lvl w:ilvl="6" w:tplc="F5069D98">
      <w:start w:val="1"/>
      <w:numFmt w:val="bullet"/>
      <w:lvlText w:val="•"/>
      <w:lvlJc w:val="left"/>
      <w:pPr>
        <w:tabs>
          <w:tab w:val="num" w:pos="5040"/>
        </w:tabs>
        <w:ind w:left="5040" w:hanging="360"/>
      </w:pPr>
      <w:rPr>
        <w:rFonts w:ascii="Arial" w:hAnsi="Arial" w:cs="Times New Roman" w:hint="default"/>
      </w:rPr>
    </w:lvl>
    <w:lvl w:ilvl="7" w:tplc="6E3692A6">
      <w:start w:val="1"/>
      <w:numFmt w:val="bullet"/>
      <w:lvlText w:val="•"/>
      <w:lvlJc w:val="left"/>
      <w:pPr>
        <w:tabs>
          <w:tab w:val="num" w:pos="5760"/>
        </w:tabs>
        <w:ind w:left="5760" w:hanging="360"/>
      </w:pPr>
      <w:rPr>
        <w:rFonts w:ascii="Arial" w:hAnsi="Arial" w:cs="Times New Roman" w:hint="default"/>
      </w:rPr>
    </w:lvl>
    <w:lvl w:ilvl="8" w:tplc="976ECCB4">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84E4812"/>
    <w:multiLevelType w:val="hybridMultilevel"/>
    <w:tmpl w:val="F9001E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94007D"/>
    <w:multiLevelType w:val="hybridMultilevel"/>
    <w:tmpl w:val="E90C28FA"/>
    <w:lvl w:ilvl="0" w:tplc="0409000F">
      <w:start w:val="1"/>
      <w:numFmt w:val="decimal"/>
      <w:lvlText w:val="%1."/>
      <w:lvlJc w:val="left"/>
      <w:pPr>
        <w:ind w:left="1152" w:hanging="360"/>
      </w:pPr>
    </w:lvl>
    <w:lvl w:ilvl="1" w:tplc="04090019">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4" w15:restartNumberingAfterBreak="0">
    <w:nsid w:val="0AB57F84"/>
    <w:multiLevelType w:val="hybridMultilevel"/>
    <w:tmpl w:val="78388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732D85"/>
    <w:multiLevelType w:val="hybridMultilevel"/>
    <w:tmpl w:val="0D1E7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74709"/>
    <w:multiLevelType w:val="hybridMultilevel"/>
    <w:tmpl w:val="D396A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097965"/>
    <w:multiLevelType w:val="hybridMultilevel"/>
    <w:tmpl w:val="B3DA56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C8B3D98"/>
    <w:multiLevelType w:val="hybridMultilevel"/>
    <w:tmpl w:val="7278F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EF22F6"/>
    <w:multiLevelType w:val="hybridMultilevel"/>
    <w:tmpl w:val="C89EE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1719B6"/>
    <w:multiLevelType w:val="hybridMultilevel"/>
    <w:tmpl w:val="1EB8EA42"/>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1155ED1"/>
    <w:multiLevelType w:val="hybridMultilevel"/>
    <w:tmpl w:val="FDFE9DCE"/>
    <w:lvl w:ilvl="0" w:tplc="BE7E62A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CC5971"/>
    <w:multiLevelType w:val="hybridMultilevel"/>
    <w:tmpl w:val="407C1EB8"/>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3" w15:restartNumberingAfterBreak="0">
    <w:nsid w:val="25BA17C4"/>
    <w:multiLevelType w:val="hybridMultilevel"/>
    <w:tmpl w:val="192611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DC5D4D"/>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281D204B"/>
    <w:multiLevelType w:val="hybridMultilevel"/>
    <w:tmpl w:val="E7309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7" w15:restartNumberingAfterBreak="0">
    <w:nsid w:val="34281E0A"/>
    <w:multiLevelType w:val="hybridMultilevel"/>
    <w:tmpl w:val="53B25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A533C99"/>
    <w:multiLevelType w:val="hybridMultilevel"/>
    <w:tmpl w:val="A468DB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B72420D"/>
    <w:multiLevelType w:val="hybridMultilevel"/>
    <w:tmpl w:val="59F206C4"/>
    <w:lvl w:ilvl="0" w:tplc="C9764B88">
      <w:start w:val="1"/>
      <w:numFmt w:val="bullet"/>
      <w:lvlText w:val="•"/>
      <w:lvlJc w:val="left"/>
      <w:pPr>
        <w:tabs>
          <w:tab w:val="num" w:pos="720"/>
        </w:tabs>
        <w:ind w:left="720" w:hanging="360"/>
      </w:pPr>
      <w:rPr>
        <w:rFonts w:ascii="Arial" w:hAnsi="Arial" w:hint="default"/>
      </w:rPr>
    </w:lvl>
    <w:lvl w:ilvl="1" w:tplc="F9B2E50C">
      <w:start w:val="569"/>
      <w:numFmt w:val="bullet"/>
      <w:lvlText w:val="–"/>
      <w:lvlJc w:val="left"/>
      <w:pPr>
        <w:tabs>
          <w:tab w:val="num" w:pos="1440"/>
        </w:tabs>
        <w:ind w:left="1440" w:hanging="360"/>
      </w:pPr>
      <w:rPr>
        <w:rFonts w:ascii="Arial" w:hAnsi="Arial" w:hint="default"/>
      </w:rPr>
    </w:lvl>
    <w:lvl w:ilvl="2" w:tplc="A0E87A6A" w:tentative="1">
      <w:start w:val="1"/>
      <w:numFmt w:val="bullet"/>
      <w:lvlText w:val="•"/>
      <w:lvlJc w:val="left"/>
      <w:pPr>
        <w:tabs>
          <w:tab w:val="num" w:pos="2160"/>
        </w:tabs>
        <w:ind w:left="2160" w:hanging="360"/>
      </w:pPr>
      <w:rPr>
        <w:rFonts w:ascii="Arial" w:hAnsi="Arial" w:hint="default"/>
      </w:rPr>
    </w:lvl>
    <w:lvl w:ilvl="3" w:tplc="8FC615A8" w:tentative="1">
      <w:start w:val="1"/>
      <w:numFmt w:val="bullet"/>
      <w:lvlText w:val="•"/>
      <w:lvlJc w:val="left"/>
      <w:pPr>
        <w:tabs>
          <w:tab w:val="num" w:pos="2880"/>
        </w:tabs>
        <w:ind w:left="2880" w:hanging="360"/>
      </w:pPr>
      <w:rPr>
        <w:rFonts w:ascii="Arial" w:hAnsi="Arial" w:hint="default"/>
      </w:rPr>
    </w:lvl>
    <w:lvl w:ilvl="4" w:tplc="155830AE" w:tentative="1">
      <w:start w:val="1"/>
      <w:numFmt w:val="bullet"/>
      <w:lvlText w:val="•"/>
      <w:lvlJc w:val="left"/>
      <w:pPr>
        <w:tabs>
          <w:tab w:val="num" w:pos="3600"/>
        </w:tabs>
        <w:ind w:left="3600" w:hanging="360"/>
      </w:pPr>
      <w:rPr>
        <w:rFonts w:ascii="Arial" w:hAnsi="Arial" w:hint="default"/>
      </w:rPr>
    </w:lvl>
    <w:lvl w:ilvl="5" w:tplc="EDCAF6C6" w:tentative="1">
      <w:start w:val="1"/>
      <w:numFmt w:val="bullet"/>
      <w:lvlText w:val="•"/>
      <w:lvlJc w:val="left"/>
      <w:pPr>
        <w:tabs>
          <w:tab w:val="num" w:pos="4320"/>
        </w:tabs>
        <w:ind w:left="4320" w:hanging="360"/>
      </w:pPr>
      <w:rPr>
        <w:rFonts w:ascii="Arial" w:hAnsi="Arial" w:hint="default"/>
      </w:rPr>
    </w:lvl>
    <w:lvl w:ilvl="6" w:tplc="8DFC9B2A" w:tentative="1">
      <w:start w:val="1"/>
      <w:numFmt w:val="bullet"/>
      <w:lvlText w:val="•"/>
      <w:lvlJc w:val="left"/>
      <w:pPr>
        <w:tabs>
          <w:tab w:val="num" w:pos="5040"/>
        </w:tabs>
        <w:ind w:left="5040" w:hanging="360"/>
      </w:pPr>
      <w:rPr>
        <w:rFonts w:ascii="Arial" w:hAnsi="Arial" w:hint="default"/>
      </w:rPr>
    </w:lvl>
    <w:lvl w:ilvl="7" w:tplc="1F6E2C34" w:tentative="1">
      <w:start w:val="1"/>
      <w:numFmt w:val="bullet"/>
      <w:lvlText w:val="•"/>
      <w:lvlJc w:val="left"/>
      <w:pPr>
        <w:tabs>
          <w:tab w:val="num" w:pos="5760"/>
        </w:tabs>
        <w:ind w:left="5760" w:hanging="360"/>
      </w:pPr>
      <w:rPr>
        <w:rFonts w:ascii="Arial" w:hAnsi="Arial" w:hint="default"/>
      </w:rPr>
    </w:lvl>
    <w:lvl w:ilvl="8" w:tplc="1F6CE2E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C467B2A"/>
    <w:multiLevelType w:val="hybridMultilevel"/>
    <w:tmpl w:val="262A9C02"/>
    <w:lvl w:ilvl="0" w:tplc="B886610A">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3632C4"/>
    <w:multiLevelType w:val="hybridMultilevel"/>
    <w:tmpl w:val="77B85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8C0757"/>
    <w:multiLevelType w:val="hybridMultilevel"/>
    <w:tmpl w:val="A58C719A"/>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3E15F2B"/>
    <w:multiLevelType w:val="hybridMultilevel"/>
    <w:tmpl w:val="A172421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5" w15:restartNumberingAfterBreak="0">
    <w:nsid w:val="44EC65AA"/>
    <w:multiLevelType w:val="hybridMultilevel"/>
    <w:tmpl w:val="F64C7D98"/>
    <w:lvl w:ilvl="0" w:tplc="B886610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5F2270"/>
    <w:multiLevelType w:val="hybridMultilevel"/>
    <w:tmpl w:val="E90C28FA"/>
    <w:lvl w:ilvl="0" w:tplc="0409000F">
      <w:start w:val="1"/>
      <w:numFmt w:val="decimal"/>
      <w:lvlText w:val="%1."/>
      <w:lvlJc w:val="left"/>
      <w:pPr>
        <w:ind w:left="1152" w:hanging="360"/>
      </w:pPr>
    </w:lvl>
    <w:lvl w:ilvl="1" w:tplc="04090019">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7" w15:restartNumberingAfterBreak="0">
    <w:nsid w:val="47FC51CE"/>
    <w:multiLevelType w:val="hybridMultilevel"/>
    <w:tmpl w:val="60AAC680"/>
    <w:lvl w:ilvl="0" w:tplc="5D24B140">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F772BF"/>
    <w:multiLevelType w:val="hybridMultilevel"/>
    <w:tmpl w:val="D3505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780AF9"/>
    <w:multiLevelType w:val="hybridMultilevel"/>
    <w:tmpl w:val="2DA44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667682"/>
    <w:multiLevelType w:val="hybridMultilevel"/>
    <w:tmpl w:val="6D08303C"/>
    <w:lvl w:ilvl="0" w:tplc="C054ED32">
      <w:start w:val="1"/>
      <w:numFmt w:val="bullet"/>
      <w:lvlText w:val="•"/>
      <w:lvlJc w:val="left"/>
      <w:pPr>
        <w:tabs>
          <w:tab w:val="num" w:pos="720"/>
        </w:tabs>
        <w:ind w:left="720" w:hanging="360"/>
      </w:pPr>
      <w:rPr>
        <w:rFonts w:ascii="Arial" w:hAnsi="Arial" w:hint="default"/>
      </w:rPr>
    </w:lvl>
    <w:lvl w:ilvl="1" w:tplc="26E45C62">
      <w:start w:val="2588"/>
      <w:numFmt w:val="bullet"/>
      <w:lvlText w:val="–"/>
      <w:lvlJc w:val="left"/>
      <w:pPr>
        <w:tabs>
          <w:tab w:val="num" w:pos="1440"/>
        </w:tabs>
        <w:ind w:left="1440" w:hanging="360"/>
      </w:pPr>
      <w:rPr>
        <w:rFonts w:ascii="Arial" w:hAnsi="Arial" w:hint="default"/>
      </w:rPr>
    </w:lvl>
    <w:lvl w:ilvl="2" w:tplc="B90A336C">
      <w:start w:val="2588"/>
      <w:numFmt w:val="bullet"/>
      <w:lvlText w:val="•"/>
      <w:lvlJc w:val="left"/>
      <w:pPr>
        <w:tabs>
          <w:tab w:val="num" w:pos="2160"/>
        </w:tabs>
        <w:ind w:left="2160" w:hanging="360"/>
      </w:pPr>
      <w:rPr>
        <w:rFonts w:ascii="Arial" w:hAnsi="Arial" w:hint="default"/>
      </w:rPr>
    </w:lvl>
    <w:lvl w:ilvl="3" w:tplc="082848DC">
      <w:start w:val="1"/>
      <w:numFmt w:val="bullet"/>
      <w:lvlText w:val="•"/>
      <w:lvlJc w:val="left"/>
      <w:pPr>
        <w:tabs>
          <w:tab w:val="num" w:pos="2880"/>
        </w:tabs>
        <w:ind w:left="2880" w:hanging="360"/>
      </w:pPr>
      <w:rPr>
        <w:rFonts w:ascii="Arial" w:hAnsi="Arial" w:hint="default"/>
      </w:rPr>
    </w:lvl>
    <w:lvl w:ilvl="4" w:tplc="B3E29928" w:tentative="1">
      <w:start w:val="1"/>
      <w:numFmt w:val="bullet"/>
      <w:lvlText w:val="•"/>
      <w:lvlJc w:val="left"/>
      <w:pPr>
        <w:tabs>
          <w:tab w:val="num" w:pos="3600"/>
        </w:tabs>
        <w:ind w:left="3600" w:hanging="360"/>
      </w:pPr>
      <w:rPr>
        <w:rFonts w:ascii="Arial" w:hAnsi="Arial" w:hint="default"/>
      </w:rPr>
    </w:lvl>
    <w:lvl w:ilvl="5" w:tplc="2D1CF17C" w:tentative="1">
      <w:start w:val="1"/>
      <w:numFmt w:val="bullet"/>
      <w:lvlText w:val="•"/>
      <w:lvlJc w:val="left"/>
      <w:pPr>
        <w:tabs>
          <w:tab w:val="num" w:pos="4320"/>
        </w:tabs>
        <w:ind w:left="4320" w:hanging="360"/>
      </w:pPr>
      <w:rPr>
        <w:rFonts w:ascii="Arial" w:hAnsi="Arial" w:hint="default"/>
      </w:rPr>
    </w:lvl>
    <w:lvl w:ilvl="6" w:tplc="E29AF45A" w:tentative="1">
      <w:start w:val="1"/>
      <w:numFmt w:val="bullet"/>
      <w:lvlText w:val="•"/>
      <w:lvlJc w:val="left"/>
      <w:pPr>
        <w:tabs>
          <w:tab w:val="num" w:pos="5040"/>
        </w:tabs>
        <w:ind w:left="5040" w:hanging="360"/>
      </w:pPr>
      <w:rPr>
        <w:rFonts w:ascii="Arial" w:hAnsi="Arial" w:hint="default"/>
      </w:rPr>
    </w:lvl>
    <w:lvl w:ilvl="7" w:tplc="C26425E4" w:tentative="1">
      <w:start w:val="1"/>
      <w:numFmt w:val="bullet"/>
      <w:lvlText w:val="•"/>
      <w:lvlJc w:val="left"/>
      <w:pPr>
        <w:tabs>
          <w:tab w:val="num" w:pos="5760"/>
        </w:tabs>
        <w:ind w:left="5760" w:hanging="360"/>
      </w:pPr>
      <w:rPr>
        <w:rFonts w:ascii="Arial" w:hAnsi="Arial" w:hint="default"/>
      </w:rPr>
    </w:lvl>
    <w:lvl w:ilvl="8" w:tplc="E30E33C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579774C6"/>
    <w:multiLevelType w:val="hybridMultilevel"/>
    <w:tmpl w:val="54046D10"/>
    <w:lvl w:ilvl="0" w:tplc="635085C8">
      <w:start w:val="1"/>
      <w:numFmt w:val="bullet"/>
      <w:lvlText w:val="•"/>
      <w:lvlJc w:val="left"/>
      <w:pPr>
        <w:tabs>
          <w:tab w:val="num" w:pos="720"/>
        </w:tabs>
        <w:ind w:left="720" w:hanging="360"/>
      </w:pPr>
      <w:rPr>
        <w:rFonts w:ascii="Arial" w:hAnsi="Arial" w:hint="default"/>
      </w:rPr>
    </w:lvl>
    <w:lvl w:ilvl="1" w:tplc="F21CA250">
      <w:start w:val="2819"/>
      <w:numFmt w:val="bullet"/>
      <w:lvlText w:val="–"/>
      <w:lvlJc w:val="left"/>
      <w:pPr>
        <w:tabs>
          <w:tab w:val="num" w:pos="1440"/>
        </w:tabs>
        <w:ind w:left="1440" w:hanging="360"/>
      </w:pPr>
      <w:rPr>
        <w:rFonts w:ascii="Arial" w:hAnsi="Arial" w:hint="default"/>
      </w:rPr>
    </w:lvl>
    <w:lvl w:ilvl="2" w:tplc="4A10C494">
      <w:start w:val="2819"/>
      <w:numFmt w:val="bullet"/>
      <w:lvlText w:val="•"/>
      <w:lvlJc w:val="left"/>
      <w:pPr>
        <w:tabs>
          <w:tab w:val="num" w:pos="2160"/>
        </w:tabs>
        <w:ind w:left="2160" w:hanging="360"/>
      </w:pPr>
      <w:rPr>
        <w:rFonts w:ascii="Arial" w:hAnsi="Arial" w:hint="default"/>
      </w:rPr>
    </w:lvl>
    <w:lvl w:ilvl="3" w:tplc="DC1EF374" w:tentative="1">
      <w:start w:val="1"/>
      <w:numFmt w:val="bullet"/>
      <w:lvlText w:val="•"/>
      <w:lvlJc w:val="left"/>
      <w:pPr>
        <w:tabs>
          <w:tab w:val="num" w:pos="2880"/>
        </w:tabs>
        <w:ind w:left="2880" w:hanging="360"/>
      </w:pPr>
      <w:rPr>
        <w:rFonts w:ascii="Arial" w:hAnsi="Arial" w:hint="default"/>
      </w:rPr>
    </w:lvl>
    <w:lvl w:ilvl="4" w:tplc="3C4A51C2" w:tentative="1">
      <w:start w:val="1"/>
      <w:numFmt w:val="bullet"/>
      <w:lvlText w:val="•"/>
      <w:lvlJc w:val="left"/>
      <w:pPr>
        <w:tabs>
          <w:tab w:val="num" w:pos="3600"/>
        </w:tabs>
        <w:ind w:left="3600" w:hanging="360"/>
      </w:pPr>
      <w:rPr>
        <w:rFonts w:ascii="Arial" w:hAnsi="Arial" w:hint="default"/>
      </w:rPr>
    </w:lvl>
    <w:lvl w:ilvl="5" w:tplc="141260BE" w:tentative="1">
      <w:start w:val="1"/>
      <w:numFmt w:val="bullet"/>
      <w:lvlText w:val="•"/>
      <w:lvlJc w:val="left"/>
      <w:pPr>
        <w:tabs>
          <w:tab w:val="num" w:pos="4320"/>
        </w:tabs>
        <w:ind w:left="4320" w:hanging="360"/>
      </w:pPr>
      <w:rPr>
        <w:rFonts w:ascii="Arial" w:hAnsi="Arial" w:hint="default"/>
      </w:rPr>
    </w:lvl>
    <w:lvl w:ilvl="6" w:tplc="E786B912" w:tentative="1">
      <w:start w:val="1"/>
      <w:numFmt w:val="bullet"/>
      <w:lvlText w:val="•"/>
      <w:lvlJc w:val="left"/>
      <w:pPr>
        <w:tabs>
          <w:tab w:val="num" w:pos="5040"/>
        </w:tabs>
        <w:ind w:left="5040" w:hanging="360"/>
      </w:pPr>
      <w:rPr>
        <w:rFonts w:ascii="Arial" w:hAnsi="Arial" w:hint="default"/>
      </w:rPr>
    </w:lvl>
    <w:lvl w:ilvl="7" w:tplc="88D61770" w:tentative="1">
      <w:start w:val="1"/>
      <w:numFmt w:val="bullet"/>
      <w:lvlText w:val="•"/>
      <w:lvlJc w:val="left"/>
      <w:pPr>
        <w:tabs>
          <w:tab w:val="num" w:pos="5760"/>
        </w:tabs>
        <w:ind w:left="5760" w:hanging="360"/>
      </w:pPr>
      <w:rPr>
        <w:rFonts w:ascii="Arial" w:hAnsi="Arial" w:hint="default"/>
      </w:rPr>
    </w:lvl>
    <w:lvl w:ilvl="8" w:tplc="9EE2C5D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8AA293A"/>
    <w:multiLevelType w:val="hybridMultilevel"/>
    <w:tmpl w:val="93ACD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3717FE"/>
    <w:multiLevelType w:val="hybridMultilevel"/>
    <w:tmpl w:val="E7729B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CB841FA"/>
    <w:multiLevelType w:val="hybridMultilevel"/>
    <w:tmpl w:val="B98CCE4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CFA2DE9"/>
    <w:multiLevelType w:val="hybridMultilevel"/>
    <w:tmpl w:val="39FAABC4"/>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5FC438B9"/>
    <w:multiLevelType w:val="hybridMultilevel"/>
    <w:tmpl w:val="A3C2E87A"/>
    <w:lvl w:ilvl="0" w:tplc="51D27E30">
      <w:start w:val="1"/>
      <w:numFmt w:val="bullet"/>
      <w:lvlText w:val="•"/>
      <w:lvlJc w:val="left"/>
      <w:pPr>
        <w:tabs>
          <w:tab w:val="num" w:pos="720"/>
        </w:tabs>
        <w:ind w:left="720" w:hanging="360"/>
      </w:pPr>
      <w:rPr>
        <w:rFonts w:ascii="Arial" w:hAnsi="Arial" w:cs="Times New Roman" w:hint="default"/>
      </w:rPr>
    </w:lvl>
    <w:lvl w:ilvl="1" w:tplc="6D48D230">
      <w:start w:val="5081"/>
      <w:numFmt w:val="bullet"/>
      <w:lvlText w:val="–"/>
      <w:lvlJc w:val="left"/>
      <w:pPr>
        <w:tabs>
          <w:tab w:val="num" w:pos="1440"/>
        </w:tabs>
        <w:ind w:left="1440" w:hanging="360"/>
      </w:pPr>
      <w:rPr>
        <w:rFonts w:ascii="Arial" w:hAnsi="Arial" w:cs="Times New Roman" w:hint="default"/>
      </w:rPr>
    </w:lvl>
    <w:lvl w:ilvl="2" w:tplc="02F6036C">
      <w:start w:val="1"/>
      <w:numFmt w:val="bullet"/>
      <w:lvlText w:val="•"/>
      <w:lvlJc w:val="left"/>
      <w:pPr>
        <w:tabs>
          <w:tab w:val="num" w:pos="2160"/>
        </w:tabs>
        <w:ind w:left="2160" w:hanging="360"/>
      </w:pPr>
      <w:rPr>
        <w:rFonts w:ascii="Arial" w:hAnsi="Arial" w:cs="Times New Roman" w:hint="default"/>
      </w:rPr>
    </w:lvl>
    <w:lvl w:ilvl="3" w:tplc="C548F102">
      <w:start w:val="1"/>
      <w:numFmt w:val="bullet"/>
      <w:lvlText w:val="•"/>
      <w:lvlJc w:val="left"/>
      <w:pPr>
        <w:tabs>
          <w:tab w:val="num" w:pos="2880"/>
        </w:tabs>
        <w:ind w:left="2880" w:hanging="360"/>
      </w:pPr>
      <w:rPr>
        <w:rFonts w:ascii="Arial" w:hAnsi="Arial" w:cs="Times New Roman" w:hint="default"/>
      </w:rPr>
    </w:lvl>
    <w:lvl w:ilvl="4" w:tplc="83B4210A">
      <w:start w:val="1"/>
      <w:numFmt w:val="bullet"/>
      <w:lvlText w:val="•"/>
      <w:lvlJc w:val="left"/>
      <w:pPr>
        <w:tabs>
          <w:tab w:val="num" w:pos="3600"/>
        </w:tabs>
        <w:ind w:left="3600" w:hanging="360"/>
      </w:pPr>
      <w:rPr>
        <w:rFonts w:ascii="Arial" w:hAnsi="Arial" w:cs="Times New Roman" w:hint="default"/>
      </w:rPr>
    </w:lvl>
    <w:lvl w:ilvl="5" w:tplc="F4FC1760">
      <w:start w:val="1"/>
      <w:numFmt w:val="bullet"/>
      <w:lvlText w:val="•"/>
      <w:lvlJc w:val="left"/>
      <w:pPr>
        <w:tabs>
          <w:tab w:val="num" w:pos="4320"/>
        </w:tabs>
        <w:ind w:left="4320" w:hanging="360"/>
      </w:pPr>
      <w:rPr>
        <w:rFonts w:ascii="Arial" w:hAnsi="Arial" w:cs="Times New Roman" w:hint="default"/>
      </w:rPr>
    </w:lvl>
    <w:lvl w:ilvl="6" w:tplc="320EC4A4">
      <w:start w:val="1"/>
      <w:numFmt w:val="bullet"/>
      <w:lvlText w:val="•"/>
      <w:lvlJc w:val="left"/>
      <w:pPr>
        <w:tabs>
          <w:tab w:val="num" w:pos="5040"/>
        </w:tabs>
        <w:ind w:left="5040" w:hanging="360"/>
      </w:pPr>
      <w:rPr>
        <w:rFonts w:ascii="Arial" w:hAnsi="Arial" w:cs="Times New Roman" w:hint="default"/>
      </w:rPr>
    </w:lvl>
    <w:lvl w:ilvl="7" w:tplc="566A8304">
      <w:start w:val="1"/>
      <w:numFmt w:val="bullet"/>
      <w:lvlText w:val="•"/>
      <w:lvlJc w:val="left"/>
      <w:pPr>
        <w:tabs>
          <w:tab w:val="num" w:pos="5760"/>
        </w:tabs>
        <w:ind w:left="5760" w:hanging="360"/>
      </w:pPr>
      <w:rPr>
        <w:rFonts w:ascii="Arial" w:hAnsi="Arial" w:cs="Times New Roman" w:hint="default"/>
      </w:rPr>
    </w:lvl>
    <w:lvl w:ilvl="8" w:tplc="DA50F144">
      <w:start w:val="1"/>
      <w:numFmt w:val="bullet"/>
      <w:lvlText w:val="•"/>
      <w:lvlJc w:val="left"/>
      <w:pPr>
        <w:tabs>
          <w:tab w:val="num" w:pos="6480"/>
        </w:tabs>
        <w:ind w:left="6480" w:hanging="360"/>
      </w:pPr>
      <w:rPr>
        <w:rFonts w:ascii="Arial" w:hAnsi="Arial" w:cs="Times New Roman" w:hint="default"/>
      </w:rPr>
    </w:lvl>
  </w:abstractNum>
  <w:abstractNum w:abstractNumId="38" w15:restartNumberingAfterBreak="0">
    <w:nsid w:val="633D6798"/>
    <w:multiLevelType w:val="hybridMultilevel"/>
    <w:tmpl w:val="D9F8B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CF0299"/>
    <w:multiLevelType w:val="hybridMultilevel"/>
    <w:tmpl w:val="981615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4F11A4"/>
    <w:multiLevelType w:val="hybridMultilevel"/>
    <w:tmpl w:val="E1D67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DB437B"/>
    <w:multiLevelType w:val="hybridMultilevel"/>
    <w:tmpl w:val="FC90E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812DA5"/>
    <w:multiLevelType w:val="hybridMultilevel"/>
    <w:tmpl w:val="AADC65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FE640E"/>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4" w15:restartNumberingAfterBreak="0">
    <w:nsid w:val="7A8B02BE"/>
    <w:multiLevelType w:val="hybridMultilevel"/>
    <w:tmpl w:val="A58C71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A06EDD"/>
    <w:multiLevelType w:val="hybridMultilevel"/>
    <w:tmpl w:val="B1523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8"/>
  </w:num>
  <w:num w:numId="2">
    <w:abstractNumId w:val="16"/>
  </w:num>
  <w:num w:numId="3">
    <w:abstractNumId w:val="31"/>
  </w:num>
  <w:num w:numId="4">
    <w:abstractNumId w:val="46"/>
  </w:num>
  <w:num w:numId="5">
    <w:abstractNumId w:val="47"/>
  </w:num>
  <w:num w:numId="6">
    <w:abstractNumId w:val="36"/>
  </w:num>
  <w:num w:numId="7">
    <w:abstractNumId w:val="9"/>
  </w:num>
  <w:num w:numId="8">
    <w:abstractNumId w:val="2"/>
  </w:num>
  <w:num w:numId="9">
    <w:abstractNumId w:val="38"/>
  </w:num>
  <w:num w:numId="10">
    <w:abstractNumId w:val="23"/>
  </w:num>
  <w:num w:numId="11">
    <w:abstractNumId w:val="29"/>
  </w:num>
  <w:num w:numId="12">
    <w:abstractNumId w:val="8"/>
  </w:num>
  <w:num w:numId="13">
    <w:abstractNumId w:val="41"/>
  </w:num>
  <w:num w:numId="14">
    <w:abstractNumId w:val="30"/>
  </w:num>
  <w:num w:numId="15">
    <w:abstractNumId w:val="20"/>
  </w:num>
  <w:num w:numId="16">
    <w:abstractNumId w:val="39"/>
  </w:num>
  <w:num w:numId="17">
    <w:abstractNumId w:val="34"/>
  </w:num>
  <w:num w:numId="18">
    <w:abstractNumId w:val="28"/>
  </w:num>
  <w:num w:numId="19">
    <w:abstractNumId w:val="13"/>
  </w:num>
  <w:num w:numId="20">
    <w:abstractNumId w:val="15"/>
  </w:num>
  <w:num w:numId="21">
    <w:abstractNumId w:val="35"/>
  </w:num>
  <w:num w:numId="22">
    <w:abstractNumId w:val="3"/>
  </w:num>
  <w:num w:numId="23">
    <w:abstractNumId w:val="26"/>
  </w:num>
  <w:num w:numId="24">
    <w:abstractNumId w:val="32"/>
  </w:num>
  <w:num w:numId="25">
    <w:abstractNumId w:val="37"/>
  </w:num>
  <w:num w:numId="26">
    <w:abstractNumId w:val="7"/>
  </w:num>
  <w:num w:numId="27">
    <w:abstractNumId w:val="1"/>
  </w:num>
  <w:num w:numId="28">
    <w:abstractNumId w:val="40"/>
  </w:num>
  <w:num w:numId="29">
    <w:abstractNumId w:val="6"/>
  </w:num>
  <w:num w:numId="30">
    <w:abstractNumId w:val="42"/>
  </w:num>
  <w:num w:numId="31">
    <w:abstractNumId w:val="5"/>
  </w:num>
  <w:num w:numId="32">
    <w:abstractNumId w:val="24"/>
  </w:num>
  <w:num w:numId="33">
    <w:abstractNumId w:val="19"/>
  </w:num>
  <w:num w:numId="34">
    <w:abstractNumId w:val="44"/>
  </w:num>
  <w:num w:numId="35">
    <w:abstractNumId w:val="33"/>
  </w:num>
  <w:num w:numId="36">
    <w:abstractNumId w:val="17"/>
  </w:num>
  <w:num w:numId="37">
    <w:abstractNumId w:val="45"/>
  </w:num>
  <w:num w:numId="38">
    <w:abstractNumId w:val="22"/>
  </w:num>
  <w:num w:numId="39">
    <w:abstractNumId w:val="10"/>
  </w:num>
  <w:num w:numId="40">
    <w:abstractNumId w:val="12"/>
  </w:num>
  <w:num w:numId="41">
    <w:abstractNumId w:val="11"/>
  </w:num>
  <w:num w:numId="42">
    <w:abstractNumId w:val="4"/>
  </w:num>
  <w:num w:numId="43">
    <w:abstractNumId w:val="0"/>
  </w:num>
  <w:num w:numId="44">
    <w:abstractNumId w:val="43"/>
  </w:num>
  <w:num w:numId="45">
    <w:abstractNumId w:val="14"/>
  </w:num>
  <w:num w:numId="46">
    <w:abstractNumId w:val="27"/>
  </w:num>
  <w:num w:numId="47">
    <w:abstractNumId w:val="21"/>
  </w:num>
  <w:num w:numId="48">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5E4E"/>
    <w:rsid w:val="0001612D"/>
    <w:rsid w:val="00016214"/>
    <w:rsid w:val="00016B13"/>
    <w:rsid w:val="00016C8C"/>
    <w:rsid w:val="00016D23"/>
    <w:rsid w:val="00016E42"/>
    <w:rsid w:val="00016EC6"/>
    <w:rsid w:val="00017072"/>
    <w:rsid w:val="000171D8"/>
    <w:rsid w:val="0001751E"/>
    <w:rsid w:val="00017D82"/>
    <w:rsid w:val="0002005A"/>
    <w:rsid w:val="000201E3"/>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424"/>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425"/>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30D"/>
    <w:rsid w:val="00136756"/>
    <w:rsid w:val="00136BCA"/>
    <w:rsid w:val="001370CC"/>
    <w:rsid w:val="001377BE"/>
    <w:rsid w:val="001379E0"/>
    <w:rsid w:val="00137D00"/>
    <w:rsid w:val="001401AD"/>
    <w:rsid w:val="001402D9"/>
    <w:rsid w:val="001403C0"/>
    <w:rsid w:val="0014067D"/>
    <w:rsid w:val="0014067E"/>
    <w:rsid w:val="001408A8"/>
    <w:rsid w:val="001415B6"/>
    <w:rsid w:val="00141860"/>
    <w:rsid w:val="00142D92"/>
    <w:rsid w:val="00142F64"/>
    <w:rsid w:val="00143591"/>
    <w:rsid w:val="00143CB6"/>
    <w:rsid w:val="001446AC"/>
    <w:rsid w:val="001446FB"/>
    <w:rsid w:val="0014494E"/>
    <w:rsid w:val="00144A0E"/>
    <w:rsid w:val="00144ABB"/>
    <w:rsid w:val="00144E0A"/>
    <w:rsid w:val="00144F14"/>
    <w:rsid w:val="00144F3A"/>
    <w:rsid w:val="00144F50"/>
    <w:rsid w:val="00145211"/>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8A3"/>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696"/>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94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6FCA"/>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80B"/>
    <w:rsid w:val="00251914"/>
    <w:rsid w:val="00251944"/>
    <w:rsid w:val="002523BB"/>
    <w:rsid w:val="00252454"/>
    <w:rsid w:val="0025246D"/>
    <w:rsid w:val="00252519"/>
    <w:rsid w:val="00252D7F"/>
    <w:rsid w:val="00252E28"/>
    <w:rsid w:val="0025323D"/>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184"/>
    <w:rsid w:val="002A43EC"/>
    <w:rsid w:val="002A45BC"/>
    <w:rsid w:val="002A476A"/>
    <w:rsid w:val="002A48B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E80"/>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AC1"/>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457"/>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0ED"/>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A83"/>
    <w:rsid w:val="00501CEE"/>
    <w:rsid w:val="00501E46"/>
    <w:rsid w:val="00502356"/>
    <w:rsid w:val="0050261D"/>
    <w:rsid w:val="00502720"/>
    <w:rsid w:val="00502895"/>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2D41"/>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58E"/>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10"/>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3"/>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A9C"/>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1AE7"/>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6F4A"/>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4CC"/>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3DE5"/>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2C91"/>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66"/>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0EE8"/>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095"/>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3E8"/>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1C79"/>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1B1"/>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BC"/>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0F9"/>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D8"/>
    <w:rsid w:val="00C3590B"/>
    <w:rsid w:val="00C35981"/>
    <w:rsid w:val="00C35E9F"/>
    <w:rsid w:val="00C36268"/>
    <w:rsid w:val="00C3647C"/>
    <w:rsid w:val="00C365DD"/>
    <w:rsid w:val="00C37711"/>
    <w:rsid w:val="00C40165"/>
    <w:rsid w:val="00C40897"/>
    <w:rsid w:val="00C4114E"/>
    <w:rsid w:val="00C412BA"/>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238"/>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6E9A"/>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199"/>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2B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E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6D"/>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94F"/>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EQ">
    <w:name w:val="EQ"/>
    <w:basedOn w:val="Normal"/>
    <w:next w:val="Normal"/>
    <w:rsid w:val="006E3DE5"/>
    <w:pPr>
      <w:keepLines/>
      <w:widowControl/>
      <w:tabs>
        <w:tab w:val="center" w:pos="4536"/>
        <w:tab w:val="right" w:pos="9072"/>
      </w:tabs>
      <w:wordWrap/>
      <w:overflowPunct w:val="0"/>
      <w:adjustRightInd w:val="0"/>
      <w:spacing w:after="180"/>
      <w:jc w:val="left"/>
      <w:textAlignment w:val="baseline"/>
    </w:pPr>
    <w:rPr>
      <w:rFonts w:ascii="Times New Roman" w:eastAsia="Times New Roman"/>
      <w:noProof/>
      <w:kern w:val="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41824">
      <w:bodyDiv w:val="1"/>
      <w:marLeft w:val="0"/>
      <w:marRight w:val="0"/>
      <w:marTop w:val="0"/>
      <w:marBottom w:val="0"/>
      <w:divBdr>
        <w:top w:val="none" w:sz="0" w:space="0" w:color="auto"/>
        <w:left w:val="none" w:sz="0" w:space="0" w:color="auto"/>
        <w:bottom w:val="none" w:sz="0" w:space="0" w:color="auto"/>
        <w:right w:val="none" w:sz="0" w:space="0" w:color="auto"/>
      </w:divBdr>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53644607">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66487104">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685154">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02830512">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oleObject" Target="embeddings/oleObject7.bin"/><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5.wmf"/><Relationship Id="rId28" Type="http://schemas.openxmlformats.org/officeDocument/2006/relationships/oleObject" Target="embeddings/oleObject8.bin"/><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image" Target="media/image7.emf"/><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5ACTRJNS4X5K-3-3453</_dlc_DocId>
    <_dlc_DocIdUrl xmlns="09bf1062-b00c-4aa1-ba18-87ca9e63a56e">
      <Url>https://projects.qualcomm.com/sites/espresso/_layouts/15/DocIdRedir.aspx?ID=5ACTRJNS4X5K-3-3453</Url>
      <Description>5ACTRJNS4X5K-3-3453</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4.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2.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3.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4.xml><?xml version="1.0" encoding="utf-8"?>
<ds:datastoreItem xmlns:ds="http://schemas.openxmlformats.org/officeDocument/2006/customXml" ds:itemID="{FD6434E7-065A-41E7-BEC3-FDF83E4C53B7}">
  <ds:schemaRefs>
    <ds:schemaRef ds:uri="office.server.policy"/>
  </ds:schemaRefs>
</ds:datastoreItem>
</file>

<file path=customXml/itemProps5.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FFA45CA-B50C-4EF4-9483-7FB33D8EB2F9}">
  <ds:schemaRefs>
    <ds:schemaRef ds:uri="http://schemas.openxmlformats.org/officeDocument/2006/bibliography"/>
  </ds:schemaRefs>
</ds:datastoreItem>
</file>

<file path=customXml/itemProps7.xml><?xml version="1.0" encoding="utf-8"?>
<ds:datastoreItem xmlns:ds="http://schemas.openxmlformats.org/officeDocument/2006/customXml" ds:itemID="{02637BF1-AC43-42A5-BA8B-20C9844A4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Pages>
  <Words>1312</Words>
  <Characters>7484</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8779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Gaal, Peter</cp:lastModifiedBy>
  <cp:revision>11</cp:revision>
  <cp:lastPrinted>2010-08-13T21:54:00Z</cp:lastPrinted>
  <dcterms:created xsi:type="dcterms:W3CDTF">2016-05-12T16:02:00Z</dcterms:created>
  <dcterms:modified xsi:type="dcterms:W3CDTF">2016-05-14T03:16:00Z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1500184171</vt:i4>
  </property>
  <property fmtid="{D5CDD505-2E9C-101B-9397-08002B2CF9AE}" pid="3" name="_NewReviewCycle">
    <vt:lpwstr/>
  </property>
  <property fmtid="{D5CDD505-2E9C-101B-9397-08002B2CF9AE}" pid="4" name="_EmailSubject">
    <vt:lpwstr>SRS contributions</vt:lpwstr>
  </property>
  <property fmtid="{D5CDD505-2E9C-101B-9397-08002B2CF9AE}" pid="5" name="_AuthorEmail">
    <vt:lpwstr>albertor@qti.qualcomm.com</vt:lpwstr>
  </property>
  <property fmtid="{D5CDD505-2E9C-101B-9397-08002B2CF9AE}" pid="6" name="_AuthorEmailDisplayName">
    <vt:lpwstr>Rico Alvarino, Alberto</vt:lpwstr>
  </property>
  <property fmtid="{D5CDD505-2E9C-101B-9397-08002B2CF9AE}" pid="7" name="ContentTypeId">
    <vt:lpwstr>0x0101008A98423170284BEEB635F43C3CF4E98B008B3A1EAE7955594BB5B58FB10F3F7793</vt:lpwstr>
  </property>
  <property fmtid="{D5CDD505-2E9C-101B-9397-08002B2CF9AE}" pid="8" name="_dlc_DocIdItemGuid">
    <vt:lpwstr>1da647db-d108-4980-875b-9c60554d8921</vt:lpwstr>
  </property>
  <property fmtid="{D5CDD505-2E9C-101B-9397-08002B2CF9AE}" pid="9" name="_PreviousAdHocReviewCycleID">
    <vt:i4>-624271560</vt:i4>
  </property>
  <property fmtid="{D5CDD505-2E9C-101B-9397-08002B2CF9AE}" pid="10" name="_ReviewingToolsShownOnce">
    <vt:lpwstr/>
  </property>
</Properties>
</file>